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bookmarkStart w:id="0" w:name="_Toc285612601"/>
      <w:bookmarkStart w:id="1" w:name="_Toc390713968"/>
      <w:bookmarkStart w:id="2" w:name="_Toc240432230"/>
      <w:bookmarkStart w:id="3" w:name="_Toc6233"/>
      <w:bookmarkStart w:id="4" w:name="_Toc112317766"/>
      <w:bookmarkStart w:id="5" w:name="_Hlk112258849"/>
      <w:r>
        <w:rPr>
          <w:sz w:val="32"/>
        </w:rPr>
        <mc:AlternateContent>
          <mc:Choice Requires="wps">
            <w:drawing>
              <wp:anchor distT="0" distB="0" distL="114300" distR="114300" simplePos="0" relativeHeight="251669504" behindDoc="0" locked="0" layoutInCell="1" allowOverlap="1">
                <wp:simplePos x="0" y="0"/>
                <wp:positionH relativeFrom="column">
                  <wp:posOffset>4230370</wp:posOffset>
                </wp:positionH>
                <wp:positionV relativeFrom="paragraph">
                  <wp:posOffset>113030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3.1pt;margin-top:8.9pt;height:52.7pt;width:106pt;z-index:251669504;v-text-anchor:middle;mso-width-relative:page;mso-height-relative:page;" fillcolor="#4472C4 [3204]" filled="t" stroked="t" coordsize="21600,21600" o:gfxdata="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LVGkXfWAAAACgEAAA8AAAAAAAAAAQAgAAAAIgAAAGRycy9kb3ducmV2LnhtbFBL&#10;AQIUABQAAAAIAIdO4kC1H5/4owIAAC8FAAAOAAAAAAAAAAEAIAAAACUBAABkcnMvZTJvRG9jLnht&#10;bFBLBQYAAAAABgAGAFkBAAA6Bg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采购方式：邀请招标</w:t>
      </w:r>
    </w:p>
    <w:p>
      <w:pPr>
        <w:rPr>
          <w:color w:val="auto"/>
          <w:highlight w:val="none"/>
        </w:rPr>
      </w:pP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军队服务类项目邀请招标文件（2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color w:val="auto"/>
          <w:sz w:val="84"/>
          <w:szCs w:val="84"/>
          <w:highlight w:val="none"/>
        </w:rPr>
      </w:pPr>
      <w:bookmarkStart w:id="6" w:name="_Toc130887460"/>
      <w:bookmarkStart w:id="7" w:name="_Toc132190594"/>
      <w:bookmarkStart w:id="8" w:name="_Toc128150016"/>
      <w:bookmarkStart w:id="9" w:name="_Toc132398765"/>
      <w:bookmarkStart w:id="10" w:name="_Toc128397940"/>
      <w:r>
        <w:rPr>
          <w:rFonts w:hint="eastAsia" w:ascii="方正小标宋简体" w:eastAsia="方正小标宋简体"/>
          <w:color w:val="auto"/>
          <w:sz w:val="84"/>
          <w:szCs w:val="84"/>
          <w:highlight w:val="none"/>
        </w:rPr>
        <w:t>通用文件</w:t>
      </w:r>
      <w:bookmarkEnd w:id="6"/>
      <w:bookmarkEnd w:id="7"/>
      <w:bookmarkEnd w:id="8"/>
      <w:bookmarkEnd w:id="9"/>
      <w:bookmarkEnd w:id="10"/>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color w:val="auto"/>
          <w:highlight w:val="none"/>
        </w:rPr>
      </w:pPr>
      <w:r>
        <w:rPr>
          <w:rFonts w:hint="eastAsia" w:ascii="黑体" w:hAnsi="黑体" w:eastAsia="黑体" w:cs="黑体"/>
          <w:bCs/>
          <w:color w:val="auto"/>
          <w:sz w:val="44"/>
          <w:szCs w:val="44"/>
          <w:highlight w:val="none"/>
        </w:rPr>
        <w:t>目   录</w:t>
      </w:r>
      <w:r>
        <w:rPr>
          <w:rFonts w:ascii="黑体" w:hAnsi="黑体" w:eastAsia="黑体"/>
          <w:bCs/>
          <w:color w:val="auto"/>
          <w:sz w:val="44"/>
          <w:szCs w:val="44"/>
          <w:highlight w:val="none"/>
        </w:rPr>
        <w:fldChar w:fldCharType="begin"/>
      </w:r>
      <w:r>
        <w:rPr>
          <w:rFonts w:ascii="黑体" w:hAnsi="黑体" w:eastAsia="黑体"/>
          <w:bCs/>
          <w:color w:val="auto"/>
          <w:sz w:val="44"/>
          <w:szCs w:val="44"/>
          <w:highlight w:val="none"/>
        </w:rPr>
        <w:instrText xml:space="preserve"> TOC \o "1-3" \h \z \u </w:instrText>
      </w:r>
      <w:r>
        <w:rPr>
          <w:rFonts w:ascii="黑体" w:hAnsi="黑体" w:eastAsia="黑体"/>
          <w:bCs/>
          <w:color w:val="auto"/>
          <w:sz w:val="44"/>
          <w:szCs w:val="44"/>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"_Toc132398766" </w:instrText>
      </w:r>
      <w:r>
        <w:rPr>
          <w:color w:val="auto"/>
          <w:highlight w:val="none"/>
        </w:rPr>
        <w:fldChar w:fldCharType="separate"/>
      </w:r>
      <w:r>
        <w:rPr>
          <w:rStyle w:val="48"/>
          <w:rFonts w:ascii="宋体" w:hAnsi="宋体" w:eastAsia="宋体"/>
          <w:color w:val="auto"/>
          <w:kern w:val="0"/>
          <w:sz w:val="28"/>
          <w:szCs w:val="28"/>
          <w:highlight w:val="none"/>
        </w:rPr>
        <w:t>第一章</w:t>
      </w:r>
      <w:r>
        <w:rPr>
          <w:rStyle w:val="48"/>
          <w:rFonts w:ascii="宋体" w:hAnsi="宋体" w:eastAsia="宋体"/>
          <w:color w:val="auto"/>
          <w:sz w:val="28"/>
          <w:szCs w:val="28"/>
          <w:highlight w:val="none"/>
        </w:rPr>
        <w:t xml:space="preserve"> </w:t>
      </w:r>
      <w:r>
        <w:rPr>
          <w:rStyle w:val="48"/>
          <w:rFonts w:ascii="宋体" w:hAnsi="宋体" w:eastAsia="宋体"/>
          <w:color w:val="auto"/>
          <w:kern w:val="0"/>
          <w:sz w:val="28"/>
          <w:szCs w:val="28"/>
          <w:highlight w:val="none"/>
        </w:rPr>
        <w:t>投标供应商须知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_Toc132398766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"_Toc132398767"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_Toc132398767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"_Toc132398768" </w:instrText>
      </w:r>
      <w:r>
        <w:rPr>
          <w:color w:val="auto"/>
          <w:highlight w:val="none"/>
        </w:rPr>
        <w:fldChar w:fldCharType="separate"/>
      </w:r>
      <w:r>
        <w:rPr>
          <w:rStyle w:val="48"/>
          <w:rFonts w:ascii="宋体" w:hAnsi="宋体" w:eastAsia="宋体"/>
          <w:color w:val="auto"/>
          <w:szCs w:val="28"/>
          <w:highlight w:val="none"/>
        </w:rPr>
        <w:t>二、招标文件的内容及澄清与修改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_Toc132398768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"_Toc132398769" </w:instrText>
      </w:r>
      <w:r>
        <w:rPr>
          <w:color w:val="auto"/>
          <w:highlight w:val="none"/>
        </w:rPr>
        <w:fldChar w:fldCharType="separate"/>
      </w:r>
      <w:r>
        <w:rPr>
          <w:rStyle w:val="48"/>
          <w:rFonts w:ascii="宋体" w:hAnsi="宋体" w:eastAsia="宋体"/>
          <w:color w:val="auto"/>
          <w:szCs w:val="28"/>
          <w:highlight w:val="none"/>
        </w:rPr>
        <w:t>三、投标文件的基本要求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_Toc132398769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"_Toc132398770" </w:instrText>
      </w:r>
      <w:r>
        <w:rPr>
          <w:color w:val="auto"/>
          <w:highlight w:val="none"/>
        </w:rPr>
        <w:fldChar w:fldCharType="separate"/>
      </w:r>
      <w:r>
        <w:rPr>
          <w:rStyle w:val="48"/>
          <w:rFonts w:ascii="宋体" w:hAnsi="宋体" w:eastAsia="宋体"/>
          <w:color w:val="auto"/>
          <w:szCs w:val="28"/>
          <w:highlight w:val="none"/>
        </w:rPr>
        <w:t>四、投标文件提交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_Toc132398770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"_Toc132398771" </w:instrText>
      </w:r>
      <w:r>
        <w:rPr>
          <w:color w:val="auto"/>
          <w:highlight w:val="none"/>
        </w:rPr>
        <w:fldChar w:fldCharType="separate"/>
      </w:r>
      <w:r>
        <w:rPr>
          <w:rStyle w:val="48"/>
          <w:rFonts w:ascii="宋体" w:hAnsi="宋体" w:eastAsia="宋体"/>
          <w:color w:val="auto"/>
          <w:szCs w:val="28"/>
          <w:highlight w:val="none"/>
        </w:rPr>
        <w:t>五、开标与评标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_Toc132398771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"_Toc132398772" </w:instrText>
      </w:r>
      <w:r>
        <w:rPr>
          <w:color w:val="auto"/>
          <w:highlight w:val="none"/>
        </w:rPr>
        <w:fldChar w:fldCharType="separate"/>
      </w:r>
      <w:r>
        <w:rPr>
          <w:rStyle w:val="48"/>
          <w:rFonts w:ascii="宋体" w:hAnsi="宋体" w:eastAsia="宋体"/>
          <w:color w:val="auto"/>
          <w:szCs w:val="28"/>
          <w:highlight w:val="none"/>
        </w:rPr>
        <w:t>六、定标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_Toc132398772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"_Toc132398773"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_Toc132398773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"_Toc132398774"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_Toc132398774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"_Toc132398775"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_Toc132398775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"_Toc132398776" </w:instrText>
      </w:r>
      <w:r>
        <w:rPr>
          <w:color w:val="auto"/>
          <w:highlight w:val="none"/>
        </w:rPr>
        <w:fldChar w:fldCharType="separate"/>
      </w:r>
      <w:r>
        <w:rPr>
          <w:rStyle w:val="48"/>
          <w:rFonts w:ascii="宋体" w:hAnsi="宋体" w:eastAsia="宋体"/>
          <w:color w:val="auto"/>
          <w:szCs w:val="28"/>
          <w:highlight w:val="none"/>
        </w:rPr>
        <w:t>附页1 招标文件更正确认函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_Toc132398776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"_Toc132398777"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_Toc132398777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"_Toc132398778"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_Toc132398778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"_Toc132398779"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_Toc132398779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30</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"_Toc132398780"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_Toc132398780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"_Toc132398781"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_Toc132398781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"_Toc132398782"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_Toc132398782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"_Toc132398783"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_Toc132398783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"_Toc132398784"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_Toc132398784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"_Toc132398785"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_Toc132398785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"_Toc132398786"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_Toc132398786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"_Toc132398787"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_Toc132398787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"_Toc132398788"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_Toc132398788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"_Toc132398789" </w:instrText>
      </w:r>
      <w:r>
        <w:rPr>
          <w:color w:val="auto"/>
          <w:highlight w:val="none"/>
        </w:rPr>
        <w:fldChar w:fldCharType="separate"/>
      </w:r>
      <w:r>
        <w:rPr>
          <w:rStyle w:val="48"/>
          <w:rFonts w:ascii="宋体" w:hAnsi="宋体" w:eastAsia="宋体"/>
          <w:color w:val="auto"/>
          <w:kern w:val="0"/>
          <w:sz w:val="28"/>
          <w:szCs w:val="28"/>
          <w:highlight w:val="none"/>
        </w:rPr>
        <w:t>第三章 投标文件内容及格式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_Toc132398789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35</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"_Toc132398790"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_Toc132398790 \h </w:instrText>
      </w:r>
      <w:r>
        <w:rPr>
          <w:rFonts w:ascii="宋体" w:hAnsi="宋体" w:eastAsia="宋体"/>
          <w:color w:val="auto"/>
          <w:szCs w:val="28"/>
          <w:highlight w:val="none"/>
        </w:rPr>
        <w:fldChar w:fldCharType="separate"/>
      </w:r>
      <w:r>
        <w:rPr>
          <w:rFonts w:ascii="宋体" w:hAnsi="宋体" w:eastAsia="宋体"/>
          <w:color w:val="auto"/>
          <w:szCs w:val="28"/>
          <w:highlight w:val="none"/>
        </w:rPr>
        <w:t>36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"_Toc132398791"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_Toc132398791 \h </w:instrText>
      </w:r>
      <w:r>
        <w:rPr>
          <w:rFonts w:ascii="宋体" w:hAnsi="宋体" w:eastAsia="宋体"/>
          <w:color w:val="auto"/>
          <w:szCs w:val="28"/>
          <w:highlight w:val="none"/>
        </w:rPr>
        <w:fldChar w:fldCharType="separate"/>
      </w:r>
      <w:r>
        <w:rPr>
          <w:rFonts w:ascii="宋体" w:hAnsi="宋体" w:eastAsia="宋体"/>
          <w:color w:val="auto"/>
          <w:szCs w:val="28"/>
          <w:highlight w:val="none"/>
        </w:rPr>
        <w:t>42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"_Toc132398792"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_Toc132398792 \h </w:instrText>
      </w:r>
      <w:r>
        <w:rPr>
          <w:rFonts w:ascii="宋体" w:hAnsi="宋体" w:eastAsia="宋体"/>
          <w:color w:val="auto"/>
          <w:szCs w:val="28"/>
          <w:highlight w:val="none"/>
        </w:rPr>
        <w:fldChar w:fldCharType="separate"/>
      </w:r>
      <w:r>
        <w:rPr>
          <w:rFonts w:ascii="宋体" w:hAnsi="宋体" w:eastAsia="宋体"/>
          <w:color w:val="auto"/>
          <w:szCs w:val="28"/>
          <w:highlight w:val="none"/>
        </w:rPr>
        <w:t>54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2"/>
        <w:adjustRightInd w:val="0"/>
        <w:snapToGrid w:val="0"/>
        <w:spacing w:line="240" w:lineRule="atLeast"/>
        <w:jc w:val="center"/>
        <w:rPr>
          <w:rFonts w:ascii="黑体" w:hAnsi="黑体" w:eastAsia="黑体"/>
          <w:bCs/>
          <w:color w:val="auto"/>
          <w:sz w:val="44"/>
          <w:szCs w:val="44"/>
          <w:highlight w:val="none"/>
        </w:rPr>
      </w:pPr>
      <w:r>
        <w:rPr>
          <w:rFonts w:ascii="黑体" w:hAnsi="黑体" w:eastAsia="黑体"/>
          <w:bCs/>
          <w:color w:val="auto"/>
          <w:sz w:val="44"/>
          <w:szCs w:val="44"/>
          <w:highlight w:val="none"/>
        </w:rPr>
        <w:fldChar w:fldCharType="end"/>
      </w:r>
    </w:p>
    <w:p>
      <w:pPr>
        <w:pStyle w:val="22"/>
        <w:adjustRightInd w:val="0"/>
        <w:snapToGrid w:val="0"/>
        <w:spacing w:line="240" w:lineRule="atLeast"/>
        <w:jc w:val="center"/>
        <w:rPr>
          <w:rFonts w:ascii="黑体" w:hAnsi="黑体" w:eastAsia="黑体"/>
          <w:bCs/>
          <w:color w:val="auto"/>
          <w:sz w:val="44"/>
          <w:szCs w:val="44"/>
          <w:highlight w:val="none"/>
        </w:rPr>
        <w:sectPr>
          <w:headerReference r:id="rId3" w:type="default"/>
          <w:pgSz w:w="11906" w:h="16838"/>
          <w:pgMar w:top="1418" w:right="1134" w:bottom="1418" w:left="1418" w:header="851" w:footer="851" w:gutter="0"/>
          <w:cols w:space="720" w:num="1"/>
          <w:docGrid w:linePitch="388" w:charSpace="-1260"/>
        </w:sectPr>
      </w:pP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11" w:name="_Toc121471649"/>
      <w:bookmarkStart w:id="12" w:name="_Toc132398766"/>
      <w:bookmarkStart w:id="13" w:name="_Toc848"/>
      <w:bookmarkStart w:id="14" w:name="_Toc128150119"/>
      <w:bookmarkStart w:id="15" w:name="_Toc13796"/>
      <w:r>
        <w:rPr>
          <w:rFonts w:hint="eastAsia" w:eastAsia="方正小标宋简体"/>
          <w:color w:val="auto"/>
          <w:kern w:val="0"/>
          <w:sz w:val="44"/>
          <w:szCs w:val="44"/>
          <w:highlight w:val="none"/>
        </w:rPr>
        <w:t>第一章</w:t>
      </w:r>
      <w:r>
        <w:rPr>
          <w:rFonts w:eastAsia="方正小标宋简体"/>
          <w:color w:val="auto"/>
          <w:sz w:val="44"/>
          <w:szCs w:val="44"/>
          <w:highlight w:val="none"/>
        </w:rPr>
        <w:t xml:space="preserve"> </w:t>
      </w:r>
      <w:r>
        <w:rPr>
          <w:rFonts w:hint="eastAsia" w:eastAsia="方正小标宋简体"/>
          <w:color w:val="auto"/>
          <w:kern w:val="0"/>
          <w:sz w:val="44"/>
          <w:szCs w:val="44"/>
          <w:highlight w:val="none"/>
        </w:rPr>
        <w:t>投标供应商须知</w:t>
      </w:r>
      <w:bookmarkEnd w:id="0"/>
      <w:bookmarkEnd w:id="1"/>
      <w:bookmarkEnd w:id="2"/>
      <w:bookmarkEnd w:id="3"/>
      <w:bookmarkEnd w:id="4"/>
      <w:bookmarkEnd w:id="11"/>
      <w:bookmarkEnd w:id="12"/>
      <w:bookmarkEnd w:id="13"/>
      <w:bookmarkEnd w:id="14"/>
      <w:bookmarkEnd w:id="15"/>
    </w:p>
    <w:bookmarkEnd w:id="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6" w:name="_Toc121471650"/>
      <w:bookmarkStart w:id="17" w:name="_Toc132398767"/>
      <w:bookmarkStart w:id="18" w:name="_Toc112317767"/>
      <w:bookmarkStart w:id="19" w:name="_Toc11614"/>
      <w:bookmarkStart w:id="20" w:name="_Toc18920"/>
      <w:bookmarkStart w:id="21" w:name="_Toc128150120"/>
      <w:bookmarkStart w:id="22" w:name="_Toc7653"/>
      <w:r>
        <w:rPr>
          <w:rFonts w:hint="eastAsia" w:ascii="黑体" w:hAnsi="黑体" w:eastAsia="黑体"/>
          <w:b w:val="0"/>
          <w:color w:val="auto"/>
          <w:highlight w:val="none"/>
        </w:rPr>
        <w:t>一、说</w:t>
      </w:r>
      <w:r>
        <w:rPr>
          <w:rFonts w:ascii="黑体" w:hAnsi="黑体" w:eastAsia="黑体"/>
          <w:b w:val="0"/>
          <w:color w:val="auto"/>
          <w:highlight w:val="none"/>
        </w:rPr>
        <w:t xml:space="preserve">  </w:t>
      </w:r>
      <w:r>
        <w:rPr>
          <w:rFonts w:hint="eastAsia" w:ascii="黑体" w:hAnsi="黑体" w:eastAsia="黑体"/>
          <w:b w:val="0"/>
          <w:color w:val="auto"/>
          <w:highlight w:val="none"/>
        </w:rPr>
        <w:t>明</w:t>
      </w:r>
      <w:bookmarkEnd w:id="16"/>
      <w:bookmarkEnd w:id="17"/>
      <w:bookmarkEnd w:id="18"/>
      <w:bookmarkEnd w:id="19"/>
      <w:bookmarkEnd w:id="20"/>
      <w:bookmarkEnd w:id="21"/>
      <w:bookmarkEnd w:id="2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 w:name="_Toc13605"/>
      <w:bookmarkStart w:id="24" w:name="_Toc18860"/>
      <w:bookmarkStart w:id="25" w:name="_Toc7843"/>
      <w:bookmarkStart w:id="26" w:name="_Toc121471651"/>
      <w:r>
        <w:rPr>
          <w:rFonts w:ascii="黑体" w:hAnsi="黑体"/>
          <w:b w:val="0"/>
          <w:color w:val="auto"/>
          <w:highlight w:val="none"/>
        </w:rPr>
        <w:t>1.概述</w:t>
      </w:r>
      <w:bookmarkEnd w:id="23"/>
      <w:bookmarkEnd w:id="24"/>
      <w:bookmarkEnd w:id="25"/>
      <w:bookmarkEnd w:id="2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1.1本文件适用于军队服务类邀请招标采购项目，用于明确一般性组织程序和实施要求。投标供应商应当结合采购项目招标文件的专用文件，全面了解采购项目信息。</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招标投标各参加方，对在参与招标投标过程中获悉的国家</w:t>
      </w:r>
      <w:bookmarkStart w:id="27" w:name="_Hlk130583331"/>
      <w:r>
        <w:rPr>
          <w:rFonts w:hint="eastAsia" w:ascii="宋体" w:hAnsi="宋体"/>
          <w:bCs/>
          <w:snapToGrid w:val="0"/>
          <w:color w:val="auto"/>
          <w:sz w:val="28"/>
          <w:szCs w:val="28"/>
          <w:highlight w:val="none"/>
          <w:lang w:val="zh-CN"/>
        </w:rPr>
        <w:t>、军队和商业</w:t>
      </w:r>
      <w:bookmarkEnd w:id="27"/>
      <w:r>
        <w:rPr>
          <w:rFonts w:hint="eastAsia" w:ascii="宋体" w:hAnsi="宋体"/>
          <w:bCs/>
          <w:snapToGrid w:val="0"/>
          <w:color w:val="auto"/>
          <w:sz w:val="28"/>
          <w:szCs w:val="28"/>
          <w:highlight w:val="none"/>
          <w:lang w:val="zh-CN"/>
        </w:rPr>
        <w:t>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 w:name="_Toc25362"/>
      <w:bookmarkStart w:id="29" w:name="_Toc22338"/>
      <w:bookmarkStart w:id="30" w:name="_Toc6648"/>
      <w:bookmarkStart w:id="31" w:name="_Toc121471652"/>
      <w:r>
        <w:rPr>
          <w:rFonts w:ascii="黑体" w:hAnsi="黑体"/>
          <w:b w:val="0"/>
          <w:color w:val="auto"/>
          <w:highlight w:val="none"/>
        </w:rPr>
        <w:t>2.定义</w:t>
      </w:r>
      <w:bookmarkEnd w:id="28"/>
      <w:bookmarkEnd w:id="29"/>
      <w:bookmarkEnd w:id="30"/>
      <w:bookmarkEnd w:id="3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指本招标文件描述的所需采购的相关服务</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指组织本次招标的采购机构</w:t>
      </w:r>
      <w:r>
        <w:rPr>
          <w:rFonts w:hint="eastAsia" w:ascii="宋体" w:hAnsi="宋体"/>
          <w:bCs/>
          <w:snapToGrid w:val="0"/>
          <w:color w:val="auto"/>
          <w:sz w:val="28"/>
          <w:szCs w:val="28"/>
          <w:highlight w:val="none"/>
          <w:lang w:val="zh-CN"/>
        </w:rPr>
        <w:t>或代理机构。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2.3“采购单位”</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指本次采购</w:t>
      </w:r>
      <w:r>
        <w:rPr>
          <w:rFonts w:hint="eastAsia" w:ascii="宋体" w:hAnsi="宋体"/>
          <w:bCs/>
          <w:snapToGrid w:val="0"/>
          <w:color w:val="auto"/>
          <w:sz w:val="28"/>
          <w:szCs w:val="28"/>
          <w:highlight w:val="none"/>
          <w:lang w:val="zh-CN"/>
        </w:rPr>
        <w:t>相关服务的需求单位。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w:t>
      </w:r>
      <w:bookmarkStart w:id="32" w:name="_Hlk112421795"/>
      <w:r>
        <w:rPr>
          <w:rFonts w:hint="eastAsia" w:ascii="宋体" w:hAnsi="宋体"/>
          <w:bCs/>
          <w:snapToGrid w:val="0"/>
          <w:color w:val="auto"/>
          <w:sz w:val="28"/>
          <w:szCs w:val="28"/>
          <w:highlight w:val="none"/>
          <w:lang w:val="zh-CN"/>
        </w:rPr>
        <w:t>预</w:t>
      </w:r>
      <w:r>
        <w:rPr>
          <w:rFonts w:ascii="宋体" w:hAnsi="宋体"/>
          <w:bCs/>
          <w:snapToGrid w:val="0"/>
          <w:color w:val="auto"/>
          <w:sz w:val="28"/>
          <w:szCs w:val="28"/>
          <w:highlight w:val="none"/>
          <w:lang w:val="zh-CN"/>
        </w:rPr>
        <w:t>中标供应商</w:t>
      </w:r>
      <w:bookmarkEnd w:id="32"/>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2.6“中标供应商”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bookmarkStart w:id="33" w:name="_Hlk112351339"/>
      <w:bookmarkStart w:id="34" w:name="_Hlk112259183"/>
      <w:r>
        <w:rPr>
          <w:rFonts w:hint="eastAsia" w:ascii="宋体" w:hAnsi="宋体"/>
          <w:bCs/>
          <w:snapToGrid w:val="0"/>
          <w:color w:val="auto"/>
          <w:sz w:val="28"/>
          <w:szCs w:val="28"/>
          <w:highlight w:val="none"/>
          <w:lang w:val="zh-CN"/>
        </w:rPr>
        <w:t>获得合同签订资格</w:t>
      </w:r>
      <w:bookmarkEnd w:id="33"/>
      <w:r>
        <w:rPr>
          <w:rFonts w:ascii="宋体" w:hAnsi="宋体"/>
          <w:bCs/>
          <w:snapToGrid w:val="0"/>
          <w:color w:val="auto"/>
          <w:sz w:val="28"/>
          <w:szCs w:val="28"/>
          <w:highlight w:val="none"/>
          <w:lang w:val="zh-CN"/>
        </w:rPr>
        <w:t>的投标供应商</w:t>
      </w:r>
      <w:bookmarkEnd w:id="34"/>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5" w:name="_Toc121471653"/>
      <w:bookmarkStart w:id="36" w:name="_Toc17484"/>
      <w:bookmarkStart w:id="37" w:name="_Toc1778"/>
      <w:bookmarkStart w:id="38" w:name="_Toc23103"/>
      <w:r>
        <w:rPr>
          <w:rFonts w:ascii="黑体" w:hAnsi="黑体"/>
          <w:b w:val="0"/>
          <w:color w:val="auto"/>
          <w:highlight w:val="none"/>
        </w:rPr>
        <w:t>3.合格的投标供应商</w:t>
      </w:r>
      <w:bookmarkEnd w:id="35"/>
      <w:bookmarkEnd w:id="36"/>
      <w:bookmarkEnd w:id="37"/>
      <w:bookmarkEnd w:id="3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3.1能够遵守国家和军队的有关法律、法规和本次招标的有关规定</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lang w:val="zh-CN"/>
        </w:rPr>
        <w:t>所述的投标供应商资格条件</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3.3能够承担</w:t>
      </w:r>
      <w:r>
        <w:rPr>
          <w:rFonts w:hint="eastAsia" w:ascii="宋体" w:hAnsi="宋体"/>
          <w:bCs/>
          <w:snapToGrid w:val="0"/>
          <w:color w:val="auto"/>
          <w:sz w:val="28"/>
          <w:szCs w:val="28"/>
          <w:highlight w:val="none"/>
          <w:lang w:val="zh-CN"/>
        </w:rPr>
        <w:t>投标文件及采购合同中明确的</w:t>
      </w:r>
      <w:r>
        <w:rPr>
          <w:rFonts w:ascii="宋体" w:hAnsi="宋体"/>
          <w:bCs/>
          <w:snapToGrid w:val="0"/>
          <w:color w:val="auto"/>
          <w:sz w:val="28"/>
          <w:szCs w:val="28"/>
          <w:highlight w:val="none"/>
          <w:lang w:val="zh-CN"/>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 w:name="_Toc121471654"/>
      <w:bookmarkStart w:id="40" w:name="_Toc29137"/>
      <w:bookmarkStart w:id="41" w:name="_Toc11962"/>
      <w:bookmarkStart w:id="42" w:name="_Toc16839"/>
      <w:r>
        <w:rPr>
          <w:rFonts w:ascii="黑体" w:hAnsi="黑体"/>
          <w:b w:val="0"/>
          <w:color w:val="auto"/>
          <w:highlight w:val="none"/>
        </w:rPr>
        <w:t>4.</w:t>
      </w:r>
      <w:r>
        <w:rPr>
          <w:rFonts w:hint="eastAsia" w:ascii="黑体" w:hAnsi="黑体"/>
          <w:b w:val="0"/>
          <w:color w:val="auto"/>
          <w:highlight w:val="none"/>
        </w:rPr>
        <w:t>合格的服务</w:t>
      </w:r>
      <w:bookmarkEnd w:id="39"/>
      <w:bookmarkEnd w:id="40"/>
      <w:bookmarkEnd w:id="41"/>
      <w:bookmarkEnd w:id="4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4.1投标供应商</w:t>
      </w:r>
      <w:r>
        <w:rPr>
          <w:rFonts w:hint="eastAsia" w:ascii="宋体" w:hAnsi="宋体"/>
          <w:bCs/>
          <w:snapToGrid w:val="0"/>
          <w:color w:val="auto"/>
          <w:sz w:val="28"/>
          <w:szCs w:val="28"/>
          <w:highlight w:val="none"/>
          <w:lang w:val="zh-CN"/>
        </w:rPr>
        <w:t>对其</w:t>
      </w:r>
      <w:r>
        <w:rPr>
          <w:rFonts w:ascii="宋体" w:hAnsi="宋体"/>
          <w:bCs/>
          <w:snapToGrid w:val="0"/>
          <w:color w:val="auto"/>
          <w:sz w:val="28"/>
          <w:szCs w:val="28"/>
          <w:highlight w:val="none"/>
          <w:lang w:val="zh-CN"/>
        </w:rPr>
        <w:t>提供的</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4.2投标供应商提供的</w:t>
      </w:r>
      <w:r>
        <w:rPr>
          <w:rFonts w:hint="eastAsia" w:ascii="宋体" w:hAnsi="宋体"/>
          <w:bCs/>
          <w:snapToGrid w:val="0"/>
          <w:color w:val="auto"/>
          <w:sz w:val="28"/>
          <w:szCs w:val="28"/>
          <w:highlight w:val="none"/>
          <w:lang w:val="zh-CN"/>
        </w:rPr>
        <w:t>服务应当</w:t>
      </w:r>
      <w:r>
        <w:rPr>
          <w:rFonts w:ascii="宋体" w:hAnsi="宋体"/>
          <w:bCs/>
          <w:snapToGrid w:val="0"/>
          <w:color w:val="auto"/>
          <w:sz w:val="28"/>
          <w:szCs w:val="28"/>
          <w:highlight w:val="none"/>
          <w:lang w:val="zh-CN"/>
        </w:rPr>
        <w:t>符合招标文件要求。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3" w:name="_Toc4678"/>
      <w:bookmarkStart w:id="44" w:name="_Toc32535"/>
      <w:bookmarkStart w:id="45" w:name="_Toc5254"/>
      <w:bookmarkStart w:id="46" w:name="_Toc121471655"/>
      <w:r>
        <w:rPr>
          <w:rFonts w:ascii="黑体" w:hAnsi="黑体"/>
          <w:b w:val="0"/>
          <w:color w:val="auto"/>
          <w:highlight w:val="none"/>
        </w:rPr>
        <w:t>5.</w:t>
      </w:r>
      <w:r>
        <w:rPr>
          <w:rFonts w:hint="eastAsia" w:ascii="黑体" w:hAnsi="黑体"/>
          <w:b w:val="0"/>
          <w:color w:val="auto"/>
          <w:highlight w:val="none"/>
        </w:rPr>
        <w:t>投标委托</w:t>
      </w:r>
      <w:bookmarkEnd w:id="43"/>
      <w:bookmarkEnd w:id="44"/>
      <w:bookmarkEnd w:id="45"/>
      <w:bookmarkEnd w:id="4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5.1</w:t>
      </w:r>
      <w:r>
        <w:rPr>
          <w:rFonts w:hint="eastAsia" w:ascii="宋体" w:hAnsi="宋体"/>
          <w:bCs/>
          <w:snapToGrid w:val="0"/>
          <w:color w:val="auto"/>
          <w:sz w:val="28"/>
          <w:szCs w:val="28"/>
          <w:highlight w:val="none"/>
          <w:lang w:val="zh-CN"/>
        </w:rPr>
        <w:t>如投标供应商代表不是法定代表人，应当在投标文件中提供《法定代表人授权书》，后附授权代表在投标前近1年内任意1个月由投标供应商缴纳社保证明材料。代缴社保证明材料不予认可。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7" w:name="_Toc14581"/>
      <w:bookmarkStart w:id="48" w:name="_Toc14711"/>
      <w:bookmarkStart w:id="49" w:name="_Toc121471656"/>
      <w:bookmarkStart w:id="50" w:name="_Toc6308"/>
      <w:r>
        <w:rPr>
          <w:rFonts w:ascii="黑体" w:hAnsi="黑体"/>
          <w:b w:val="0"/>
          <w:color w:val="auto"/>
          <w:highlight w:val="none"/>
        </w:rPr>
        <w:t>6.</w:t>
      </w:r>
      <w:r>
        <w:rPr>
          <w:rFonts w:hint="eastAsia" w:ascii="黑体" w:hAnsi="黑体"/>
          <w:b w:val="0"/>
          <w:color w:val="auto"/>
          <w:highlight w:val="none"/>
        </w:rPr>
        <w:t>投标费用</w:t>
      </w:r>
      <w:bookmarkEnd w:id="47"/>
      <w:bookmarkEnd w:id="48"/>
      <w:bookmarkEnd w:id="49"/>
      <w:bookmarkEnd w:id="5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6.1</w:t>
      </w:r>
      <w:r>
        <w:rPr>
          <w:rFonts w:hint="eastAsia" w:ascii="宋体" w:hAnsi="宋体"/>
          <w:bCs/>
          <w:snapToGrid w:val="0"/>
          <w:color w:val="auto"/>
          <w:sz w:val="28"/>
          <w:szCs w:val="28"/>
          <w:highlight w:val="none"/>
          <w:lang w:val="zh-CN"/>
        </w:rPr>
        <w:t>无论投标结果如何，投标供应商均应当自行承担准备和参加投标相关的全部费用。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1" w:name="_Toc28020"/>
      <w:bookmarkStart w:id="52" w:name="_Toc121471657"/>
      <w:bookmarkStart w:id="53" w:name="_Toc2963"/>
      <w:bookmarkStart w:id="54" w:name="_Toc14517"/>
      <w:bookmarkStart w:id="55" w:name="_Toc112317768"/>
      <w:r>
        <w:rPr>
          <w:rFonts w:ascii="黑体" w:hAnsi="黑体"/>
          <w:b w:val="0"/>
          <w:color w:val="auto"/>
          <w:highlight w:val="none"/>
        </w:rPr>
        <w:t>7.</w:t>
      </w:r>
      <w:r>
        <w:rPr>
          <w:rFonts w:hint="eastAsia" w:ascii="黑体" w:hAnsi="黑体"/>
          <w:b w:val="0"/>
          <w:color w:val="auto"/>
          <w:highlight w:val="none"/>
        </w:rPr>
        <w:t>组织现场踏勘或召开</w:t>
      </w:r>
      <w:r>
        <w:rPr>
          <w:rFonts w:hint="eastAsia" w:ascii="黑体" w:hAnsi="黑体"/>
          <w:b w:val="0"/>
          <w:bCs w:val="0"/>
          <w:color w:val="auto"/>
          <w:highlight w:val="none"/>
        </w:rPr>
        <w:t>标前</w:t>
      </w:r>
      <w:r>
        <w:rPr>
          <w:rFonts w:hint="eastAsia" w:ascii="黑体" w:hAnsi="黑体"/>
          <w:b w:val="0"/>
          <w:color w:val="auto"/>
          <w:highlight w:val="none"/>
        </w:rPr>
        <w:t>答疑会</w:t>
      </w:r>
      <w:bookmarkEnd w:id="51"/>
      <w:bookmarkEnd w:id="52"/>
      <w:bookmarkEnd w:id="53"/>
      <w:bookmarkEnd w:id="5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7.1采购机构可以在</w:t>
      </w:r>
      <w:r>
        <w:rPr>
          <w:rFonts w:hint="eastAsia" w:ascii="宋体" w:hAnsi="宋体"/>
          <w:bCs/>
          <w:snapToGrid w:val="0"/>
          <w:color w:val="auto"/>
          <w:sz w:val="28"/>
          <w:szCs w:val="28"/>
          <w:highlight w:val="none"/>
          <w:lang w:val="zh-CN"/>
        </w:rPr>
        <w:t>【投标供应商须知前附表】明确的招标文件</w:t>
      </w:r>
      <w:r>
        <w:rPr>
          <w:rFonts w:hint="eastAsia" w:asciiTheme="minorEastAsia" w:hAnsiTheme="minorEastAsia" w:eastAsiaTheme="minorEastAsia"/>
          <w:bCs/>
          <w:color w:val="auto"/>
          <w:sz w:val="28"/>
          <w:szCs w:val="28"/>
          <w:highlight w:val="none"/>
        </w:rPr>
        <w:t>申领时间</w:t>
      </w:r>
      <w:r>
        <w:rPr>
          <w:rFonts w:hint="eastAsia" w:ascii="宋体" w:hAnsi="宋体"/>
          <w:bCs/>
          <w:snapToGrid w:val="0"/>
          <w:color w:val="auto"/>
          <w:sz w:val="28"/>
          <w:szCs w:val="28"/>
          <w:highlight w:val="none"/>
          <w:lang w:val="zh-CN"/>
        </w:rPr>
        <w:t>截止后，组织已获取招标文件的投标供应商现场踏勘或召开标前答疑会。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7.2</w:t>
      </w:r>
      <w:r>
        <w:rPr>
          <w:rFonts w:hint="eastAsia" w:ascii="宋体" w:hAnsi="宋体"/>
          <w:bCs/>
          <w:snapToGrid w:val="0"/>
          <w:color w:val="auto"/>
          <w:sz w:val="28"/>
          <w:szCs w:val="28"/>
          <w:highlight w:val="none"/>
          <w:lang w:val="zh-CN"/>
        </w:rPr>
        <w:t>已</w:t>
      </w:r>
      <w:r>
        <w:rPr>
          <w:rFonts w:ascii="宋体" w:hAnsi="宋体"/>
          <w:bCs/>
          <w:snapToGrid w:val="0"/>
          <w:color w:val="auto"/>
          <w:sz w:val="28"/>
          <w:szCs w:val="28"/>
          <w:highlight w:val="none"/>
          <w:lang w:val="zh-CN"/>
        </w:rPr>
        <w:t>申领招标文件的供应商按</w:t>
      </w:r>
      <w:r>
        <w:rPr>
          <w:rFonts w:hint="eastAsia" w:ascii="宋体" w:hAnsi="宋体"/>
          <w:bCs/>
          <w:snapToGrid w:val="0"/>
          <w:color w:val="auto"/>
          <w:sz w:val="28"/>
          <w:szCs w:val="28"/>
          <w:highlight w:val="none"/>
          <w:lang w:val="zh-CN"/>
        </w:rPr>
        <w:t>【投标供应商须知前附表】明确的要求参加现场踏勘或标前答疑会；如不参加，风险自行承担。</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7.3投标供应</w:t>
      </w:r>
      <w:r>
        <w:rPr>
          <w:rFonts w:hint="eastAsia" w:ascii="宋体" w:hAnsi="宋体"/>
          <w:bCs/>
          <w:snapToGrid w:val="0"/>
          <w:color w:val="auto"/>
          <w:sz w:val="28"/>
          <w:szCs w:val="28"/>
          <w:highlight w:val="none"/>
          <w:lang w:val="zh-CN"/>
        </w:rPr>
        <w:t>商现场踏勘或参加标前答疑会的费用自行承担，现场踏勘期间发生的人身伤害及财产损失自行负责。</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7.4采购机构不对</w:t>
      </w:r>
      <w:r>
        <w:rPr>
          <w:rFonts w:hint="eastAsia" w:ascii="宋体" w:hAnsi="宋体"/>
          <w:bCs/>
          <w:color w:val="auto"/>
          <w:sz w:val="28"/>
          <w:szCs w:val="28"/>
          <w:highlight w:val="none"/>
        </w:rPr>
        <w:t>招标文件或最终书面答复之外，投标供应商自行得出的推论、理解和结论</w:t>
      </w:r>
      <w:r>
        <w:rPr>
          <w:rFonts w:ascii="宋体" w:hAnsi="宋体"/>
          <w:bCs/>
          <w:snapToGrid w:val="0"/>
          <w:color w:val="auto"/>
          <w:sz w:val="28"/>
          <w:szCs w:val="28"/>
          <w:highlight w:val="none"/>
          <w:lang w:val="zh-CN"/>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宋体" w:hAnsi="宋体"/>
          <w:bCs/>
          <w:snapToGrid w:val="0"/>
          <w:color w:val="auto"/>
          <w:sz w:val="28"/>
          <w:szCs w:val="28"/>
          <w:highlight w:val="none"/>
          <w:lang w:val="zh-CN"/>
        </w:rPr>
        <w:t>一旦中标，不得以任何借口，提出额外补偿或延长合同期限</w:t>
      </w:r>
      <w:r>
        <w:rPr>
          <w:rFonts w:hint="eastAsia" w:ascii="宋体" w:hAnsi="宋体"/>
          <w:bCs/>
          <w:color w:val="auto"/>
          <w:sz w:val="28"/>
          <w:szCs w:val="28"/>
          <w:highlight w:val="none"/>
        </w:rPr>
        <w:t>等不合理</w:t>
      </w:r>
      <w:r>
        <w:rPr>
          <w:rFonts w:ascii="宋体" w:hAnsi="宋体"/>
          <w:bCs/>
          <w:snapToGrid w:val="0"/>
          <w:color w:val="auto"/>
          <w:sz w:val="28"/>
          <w:szCs w:val="28"/>
          <w:highlight w:val="none"/>
          <w:lang w:val="zh-CN"/>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6" w:name="_Toc28942"/>
      <w:bookmarkStart w:id="57" w:name="_Toc21035"/>
      <w:bookmarkStart w:id="58" w:name="_Toc1654"/>
      <w:bookmarkStart w:id="59" w:name="_Toc121471658"/>
      <w:r>
        <w:rPr>
          <w:rFonts w:ascii="黑体" w:hAnsi="黑体"/>
          <w:b w:val="0"/>
          <w:color w:val="auto"/>
          <w:highlight w:val="none"/>
        </w:rPr>
        <w:t>8.</w:t>
      </w:r>
      <w:r>
        <w:rPr>
          <w:rFonts w:hint="eastAsia" w:ascii="黑体" w:hAnsi="黑体"/>
          <w:b w:val="0"/>
          <w:color w:val="auto"/>
          <w:highlight w:val="none"/>
        </w:rPr>
        <w:t>信息发布及媒体</w:t>
      </w:r>
      <w:bookmarkEnd w:id="56"/>
      <w:bookmarkEnd w:id="57"/>
      <w:bookmarkEnd w:id="58"/>
      <w:bookmarkEnd w:id="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8.1</w:t>
      </w:r>
      <w:r>
        <w:rPr>
          <w:rFonts w:ascii="宋体" w:hAnsi="宋体"/>
          <w:bCs/>
          <w:snapToGrid w:val="0"/>
          <w:color w:val="auto"/>
          <w:sz w:val="28"/>
          <w:szCs w:val="28"/>
          <w:highlight w:val="none"/>
        </w:rPr>
        <w:t>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60" w:name="_Hlk112497301"/>
      <w:r>
        <w:rPr>
          <w:rFonts w:hint="eastAsia" w:ascii="宋体" w:hAnsi="宋体"/>
          <w:bCs/>
          <w:snapToGrid w:val="0"/>
          <w:color w:val="auto"/>
          <w:sz w:val="28"/>
          <w:szCs w:val="28"/>
          <w:highlight w:val="none"/>
          <w:lang w:val="zh-CN"/>
        </w:rPr>
        <w:t>【投标供应商须知前附表】</w:t>
      </w:r>
      <w:r>
        <w:rPr>
          <w:rFonts w:hint="eastAsia" w:ascii="宋体" w:hAnsi="宋体"/>
          <w:bCs/>
          <w:color w:val="auto"/>
          <w:sz w:val="28"/>
          <w:szCs w:val="28"/>
          <w:highlight w:val="none"/>
        </w:rPr>
        <w:t>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6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61" w:name="_Toc18316"/>
      <w:bookmarkStart w:id="62" w:name="_Toc8757"/>
      <w:bookmarkStart w:id="63" w:name="_Toc2172"/>
      <w:bookmarkStart w:id="64" w:name="_Toc121471659"/>
      <w:bookmarkStart w:id="65" w:name="_Toc132398768"/>
      <w:bookmarkStart w:id="66" w:name="_Toc128150121"/>
      <w:r>
        <w:rPr>
          <w:rFonts w:hint="eastAsia" w:ascii="黑体" w:hAnsi="黑体" w:eastAsia="黑体"/>
          <w:b w:val="0"/>
          <w:color w:val="auto"/>
          <w:highlight w:val="none"/>
        </w:rPr>
        <w:t>二、招标文件</w:t>
      </w:r>
      <w:bookmarkEnd w:id="55"/>
      <w:bookmarkEnd w:id="61"/>
      <w:bookmarkEnd w:id="62"/>
      <w:bookmarkEnd w:id="63"/>
      <w:bookmarkEnd w:id="64"/>
      <w:r>
        <w:rPr>
          <w:rFonts w:hint="eastAsia" w:ascii="黑体" w:hAnsi="黑体" w:eastAsia="黑体"/>
          <w:b w:val="0"/>
          <w:color w:val="auto"/>
          <w:highlight w:val="none"/>
        </w:rPr>
        <w:t>的内容及澄清与修改</w:t>
      </w:r>
      <w:bookmarkEnd w:id="65"/>
      <w:bookmarkEnd w:id="6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7" w:name="_Toc14062"/>
      <w:bookmarkStart w:id="68" w:name="_Toc10411"/>
      <w:bookmarkStart w:id="69" w:name="_Toc19159"/>
      <w:bookmarkStart w:id="70" w:name="_Toc121471660"/>
      <w:r>
        <w:rPr>
          <w:rFonts w:ascii="黑体" w:hAnsi="黑体"/>
          <w:b w:val="0"/>
          <w:color w:val="auto"/>
          <w:highlight w:val="none"/>
        </w:rPr>
        <w:t>9.</w:t>
      </w:r>
      <w:r>
        <w:rPr>
          <w:rFonts w:hint="eastAsia" w:ascii="黑体" w:hAnsi="黑体"/>
          <w:b w:val="0"/>
          <w:color w:val="auto"/>
          <w:highlight w:val="none"/>
        </w:rPr>
        <w:t>招标文件的内容</w:t>
      </w:r>
      <w:bookmarkEnd w:id="67"/>
      <w:bookmarkEnd w:id="68"/>
      <w:bookmarkEnd w:id="69"/>
      <w:bookmarkEnd w:id="7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snapToGrid w:val="0"/>
          <w:color w:val="auto"/>
          <w:sz w:val="28"/>
          <w:szCs w:val="28"/>
          <w:highlight w:val="none"/>
          <w:lang w:val="zh-CN"/>
        </w:rPr>
        <w:t>招标文件由特别提示、通用文件和专用文件3部分组成，通用文件载明军队服务类邀请招标项目的一般性说明，专用文件载明本项目特定条件和要求。通用文件与专用文件内容不一致的，以专用文件为准。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1" w:name="_Toc121471661"/>
      <w:bookmarkStart w:id="72" w:name="_Toc32283"/>
      <w:bookmarkStart w:id="73" w:name="_Toc10322"/>
      <w:bookmarkStart w:id="74" w:name="_Toc31901"/>
      <w:r>
        <w:rPr>
          <w:rFonts w:ascii="黑体" w:hAnsi="黑体"/>
          <w:b w:val="0"/>
          <w:color w:val="auto"/>
          <w:highlight w:val="none"/>
        </w:rPr>
        <w:t>10.</w:t>
      </w:r>
      <w:r>
        <w:rPr>
          <w:rFonts w:hint="eastAsia" w:ascii="黑体" w:hAnsi="黑体"/>
          <w:b w:val="0"/>
          <w:color w:val="auto"/>
          <w:highlight w:val="none"/>
        </w:rPr>
        <w:t>招标文件的澄清</w:t>
      </w:r>
      <w:bookmarkEnd w:id="71"/>
      <w:bookmarkEnd w:id="72"/>
      <w:bookmarkEnd w:id="73"/>
      <w:bookmarkEnd w:id="74"/>
      <w:r>
        <w:rPr>
          <w:rFonts w:hint="eastAsia" w:ascii="黑体" w:hAnsi="黑体"/>
          <w:b w:val="0"/>
          <w:color w:val="auto"/>
          <w:highlight w:val="none"/>
        </w:rPr>
        <w:t>与修改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75" w:name="_Hlk126870617"/>
      <w:r>
        <w:rPr>
          <w:rFonts w:ascii="宋体" w:hAnsi="宋体"/>
          <w:bCs/>
          <w:snapToGrid w:val="0"/>
          <w:color w:val="auto"/>
          <w:sz w:val="28"/>
          <w:szCs w:val="28"/>
          <w:highlight w:val="none"/>
          <w:lang w:val="zh-CN"/>
        </w:rPr>
        <w:t>10.1供应商对招标文件如有疑问要求澄清，应当在</w:t>
      </w:r>
      <w:r>
        <w:rPr>
          <w:rFonts w:hint="eastAsia" w:ascii="宋体" w:hAnsi="宋体"/>
          <w:bCs/>
          <w:snapToGrid w:val="0"/>
          <w:color w:val="auto"/>
          <w:sz w:val="28"/>
          <w:szCs w:val="28"/>
          <w:highlight w:val="none"/>
          <w:lang w:val="zh-CN"/>
        </w:rPr>
        <w:t>【投标供应商须知前附表】明确的</w:t>
      </w:r>
      <w:r>
        <w:rPr>
          <w:rFonts w:ascii="宋体" w:hAnsi="宋体"/>
          <w:bCs/>
          <w:snapToGrid w:val="0"/>
          <w:color w:val="auto"/>
          <w:sz w:val="28"/>
          <w:szCs w:val="28"/>
          <w:highlight w:val="none"/>
          <w:lang w:val="zh-CN"/>
        </w:rPr>
        <w:t>投标截止时间10日前以书面形式通知采购机构，采购机构视情以适当方式予以澄清。如有必要，在不标明问题来源情况下，采购机构可将答复内容以</w:t>
      </w:r>
      <w:r>
        <w:rPr>
          <w:rFonts w:hint="eastAsia" w:ascii="宋体" w:hAnsi="宋体"/>
          <w:bCs/>
          <w:snapToGrid w:val="0"/>
          <w:color w:val="auto"/>
          <w:sz w:val="28"/>
          <w:szCs w:val="28"/>
          <w:highlight w:val="none"/>
          <w:lang w:val="zh-CN"/>
        </w:rPr>
        <w:t>公告或</w:t>
      </w:r>
      <w:r>
        <w:rPr>
          <w:rFonts w:ascii="宋体" w:hAnsi="宋体"/>
          <w:bCs/>
          <w:snapToGrid w:val="0"/>
          <w:color w:val="auto"/>
          <w:sz w:val="28"/>
          <w:szCs w:val="28"/>
          <w:highlight w:val="none"/>
          <w:lang w:val="zh-CN"/>
        </w:rPr>
        <w:t>书面形式通知所有</w:t>
      </w:r>
      <w:r>
        <w:rPr>
          <w:rFonts w:hint="eastAsia" w:ascii="宋体" w:hAnsi="宋体"/>
          <w:bCs/>
          <w:color w:val="auto"/>
          <w:sz w:val="28"/>
          <w:szCs w:val="28"/>
          <w:highlight w:val="none"/>
        </w:rPr>
        <w:t>已申领招标文件的</w:t>
      </w:r>
      <w:r>
        <w:rPr>
          <w:rFonts w:ascii="宋体" w:hAnsi="宋体"/>
          <w:bCs/>
          <w:snapToGrid w:val="0"/>
          <w:color w:val="auto"/>
          <w:sz w:val="28"/>
          <w:szCs w:val="28"/>
          <w:highlight w:val="none"/>
          <w:lang w:val="zh-CN"/>
        </w:rPr>
        <w:t>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10.2投标截止时间前，采购机构可以对已发出的招标文件进行必要的澄清</w:t>
      </w:r>
      <w:r>
        <w:rPr>
          <w:rFonts w:hint="eastAsia" w:ascii="宋体" w:hAnsi="宋体"/>
          <w:bCs/>
          <w:snapToGrid w:val="0"/>
          <w:color w:val="auto"/>
          <w:sz w:val="28"/>
          <w:szCs w:val="28"/>
          <w:highlight w:val="none"/>
          <w:lang w:val="zh-CN"/>
        </w:rPr>
        <w:t>和修改</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10.3澄清的内容不影响投标文件编制的，采购机构可以采取发布澄清公告或书面函告等形式通知所有已申领招标文件的供应商。澄清的内容为招标文件的组成部分。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bookmarkStart w:id="76" w:name="_Toc1148"/>
      <w:bookmarkStart w:id="77" w:name="_Toc19242"/>
      <w:bookmarkStart w:id="78" w:name="_Toc121471662"/>
      <w:bookmarkStart w:id="79" w:name="_Toc8594"/>
      <w:r>
        <w:rPr>
          <w:rFonts w:hint="eastAsia" w:ascii="宋体" w:hAnsi="宋体"/>
          <w:bCs/>
          <w:color w:val="auto"/>
          <w:sz w:val="28"/>
          <w:szCs w:val="28"/>
          <w:highlight w:val="none"/>
        </w:rPr>
        <w:t>10.4澄清或修改的内容可能影响投标文件编制的，采购机构将在提交投标文件截止时间15日前，发布公告并且书面函告所有已申领招标文件的供应商；不足15日的，将相应顺延提交投标文件的截止时间。</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bookmarkEnd w:id="76"/>
      <w:bookmarkEnd w:id="77"/>
      <w:bookmarkEnd w:id="78"/>
      <w:bookmarkEnd w:id="79"/>
      <w:r>
        <w:rPr>
          <w:rFonts w:hint="eastAsia" w:ascii="宋体" w:hAnsi="宋体"/>
          <w:bCs/>
          <w:color w:val="auto"/>
          <w:sz w:val="28"/>
          <w:szCs w:val="28"/>
          <w:highlight w:val="none"/>
        </w:rPr>
        <w:t>采购标的、关键技术要求、资格条件等内容需修改的，采购机构将重新发布投标邀请书，并书面函告所有已申领招标文件的供应商。</w:t>
      </w:r>
    </w:p>
    <w:bookmarkEnd w:id="7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80" w:name="_Toc30216"/>
      <w:bookmarkStart w:id="81" w:name="_Toc29883"/>
      <w:bookmarkStart w:id="82" w:name="_Toc24904"/>
      <w:bookmarkStart w:id="83" w:name="_Toc112317769"/>
      <w:bookmarkStart w:id="84" w:name="_Toc121471663"/>
      <w:bookmarkStart w:id="85" w:name="_Toc132398769"/>
      <w:bookmarkStart w:id="86" w:name="_Toc128150122"/>
      <w:r>
        <w:rPr>
          <w:rFonts w:hint="eastAsia" w:ascii="黑体" w:hAnsi="黑体" w:eastAsia="黑体"/>
          <w:b w:val="0"/>
          <w:color w:val="auto"/>
          <w:highlight w:val="none"/>
        </w:rPr>
        <w:t>三、投标文件</w:t>
      </w:r>
      <w:bookmarkEnd w:id="80"/>
      <w:bookmarkEnd w:id="81"/>
      <w:bookmarkEnd w:id="82"/>
      <w:bookmarkEnd w:id="83"/>
      <w:bookmarkEnd w:id="84"/>
      <w:r>
        <w:rPr>
          <w:rFonts w:hint="eastAsia" w:ascii="黑体" w:hAnsi="黑体" w:eastAsia="黑体"/>
          <w:b w:val="0"/>
          <w:color w:val="auto"/>
          <w:highlight w:val="none"/>
        </w:rPr>
        <w:t>的基本要求</w:t>
      </w:r>
      <w:bookmarkEnd w:id="85"/>
      <w:bookmarkEnd w:id="8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7" w:name="_Toc11799"/>
      <w:bookmarkStart w:id="88" w:name="_Toc9091"/>
      <w:bookmarkStart w:id="89" w:name="_Toc4588"/>
      <w:bookmarkStart w:id="90" w:name="_Toc121471664"/>
      <w:r>
        <w:rPr>
          <w:rFonts w:ascii="黑体" w:hAnsi="黑体"/>
          <w:b w:val="0"/>
          <w:color w:val="auto"/>
          <w:highlight w:val="none"/>
        </w:rPr>
        <w:t>1</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编制要求</w:t>
      </w:r>
      <w:bookmarkEnd w:id="87"/>
      <w:bookmarkEnd w:id="88"/>
      <w:bookmarkEnd w:id="89"/>
      <w:bookmarkEnd w:id="9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投标供应商应当仔细阅读招标文件，在完全了解全部内容后，依法真实编制投标文件。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1" w:name="_Toc9398"/>
      <w:bookmarkStart w:id="92" w:name="_Toc16038"/>
      <w:bookmarkStart w:id="93" w:name="_Toc6574"/>
      <w:bookmarkStart w:id="94" w:name="_Toc121471665"/>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投标文件的语言及计量单位</w:t>
      </w:r>
      <w:bookmarkEnd w:id="91"/>
      <w:bookmarkEnd w:id="92"/>
      <w:bookmarkEnd w:id="93"/>
      <w:bookmarkEnd w:id="9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.1投标文件和</w:t>
      </w:r>
      <w:r>
        <w:rPr>
          <w:rFonts w:hint="eastAsia" w:ascii="宋体" w:hAnsi="宋体"/>
          <w:bCs/>
          <w:snapToGrid w:val="0"/>
          <w:color w:val="auto"/>
          <w:sz w:val="28"/>
          <w:szCs w:val="28"/>
          <w:highlight w:val="none"/>
          <w:lang w:val="zh-CN"/>
        </w:rPr>
        <w:t>投标供应商与采购机构就有关投标的</w:t>
      </w:r>
      <w:r>
        <w:rPr>
          <w:rFonts w:ascii="宋体" w:hAnsi="宋体"/>
          <w:bCs/>
          <w:snapToGrid w:val="0"/>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95" w:name="_Hlk130370619"/>
      <w:r>
        <w:rPr>
          <w:rFonts w:hint="eastAsia" w:ascii="黑体" w:hAnsi="黑体" w:eastAsia="黑体"/>
          <w:bCs/>
          <w:color w:val="auto"/>
          <w:sz w:val="28"/>
          <w:szCs w:val="28"/>
          <w:highlight w:val="none"/>
          <w:lang w:val="zh-CN"/>
        </w:rPr>
        <w:t>应当</w:t>
      </w:r>
      <w:bookmarkEnd w:id="95"/>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snapToGrid w:val="0"/>
          <w:color w:val="auto"/>
          <w:sz w:val="28"/>
          <w:szCs w:val="28"/>
          <w:highlight w:val="none"/>
          <w:lang w:val="zh-CN"/>
        </w:rPr>
        <w:t>未提供中文译文的，该文本无效。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.2投标文件中所使用的计量单位，除投标文件中有特殊要求外，均采用</w:t>
      </w:r>
      <w:r>
        <w:rPr>
          <w:rFonts w:hint="eastAsia" w:ascii="宋体" w:hAnsi="宋体"/>
          <w:bCs/>
          <w:snapToGrid w:val="0"/>
          <w:color w:val="auto"/>
          <w:sz w:val="28"/>
          <w:szCs w:val="28"/>
          <w:highlight w:val="none"/>
          <w:lang w:val="zh-CN"/>
        </w:rPr>
        <w:t>中华人民共和国</w:t>
      </w:r>
      <w:r>
        <w:rPr>
          <w:rFonts w:ascii="宋体" w:hAnsi="宋体"/>
          <w:bCs/>
          <w:snapToGrid w:val="0"/>
          <w:color w:val="auto"/>
          <w:sz w:val="28"/>
          <w:szCs w:val="28"/>
          <w:highlight w:val="none"/>
          <w:lang w:val="zh-CN"/>
        </w:rPr>
        <w:t>法定计量单位。</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6" w:name="_Toc32197"/>
      <w:bookmarkStart w:id="97" w:name="_Toc17703"/>
      <w:bookmarkStart w:id="98" w:name="_Toc121471666"/>
      <w:bookmarkStart w:id="99" w:name="_Toc1604"/>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投标文件组成</w:t>
      </w:r>
      <w:bookmarkEnd w:id="96"/>
      <w:bookmarkEnd w:id="97"/>
      <w:bookmarkEnd w:id="98"/>
      <w:bookmarkEnd w:id="9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bookmarkStart w:id="100" w:name="_Hlk112504983"/>
      <w:r>
        <w:rPr>
          <w:rFonts w:ascii="宋体" w:hAnsi="宋体"/>
          <w:bCs/>
          <w:color w:val="auto"/>
          <w:sz w:val="28"/>
          <w:szCs w:val="28"/>
          <w:highlight w:val="none"/>
        </w:rPr>
        <w:t>投标文件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01" w:name="_Hlk112353436"/>
      <w:r>
        <w:rPr>
          <w:rFonts w:hint="eastAsia" w:ascii="黑体" w:hAnsi="黑体" w:eastAsia="黑体"/>
          <w:bCs/>
          <w:color w:val="auto"/>
          <w:sz w:val="28"/>
          <w:szCs w:val="28"/>
          <w:highlight w:val="none"/>
        </w:rPr>
        <w:t>商务技术</w:t>
      </w:r>
      <w:bookmarkEnd w:id="101"/>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详见第三章投标文件内容及格式</w:t>
      </w:r>
      <w:r>
        <w:rPr>
          <w:rFonts w:hint="eastAsia" w:ascii="宋体" w:hAnsi="宋体"/>
          <w:bCs/>
          <w:color w:val="auto"/>
          <w:sz w:val="28"/>
          <w:szCs w:val="28"/>
          <w:highlight w:val="none"/>
        </w:rPr>
        <w:t>。</w:t>
      </w:r>
    </w:p>
    <w:bookmarkEnd w:id="100"/>
    <w:p>
      <w:pPr>
        <w:pStyle w:val="6"/>
        <w:keepNext w:val="0"/>
        <w:keepLines w:val="0"/>
        <w:adjustRightInd w:val="0"/>
        <w:snapToGrid w:val="0"/>
        <w:spacing w:before="0" w:after="0" w:line="560" w:lineRule="exact"/>
        <w:ind w:firstLine="560"/>
        <w:rPr>
          <w:rFonts w:ascii="黑体" w:hAnsi="黑体"/>
          <w:b w:val="0"/>
          <w:color w:val="auto"/>
          <w:highlight w:val="none"/>
        </w:rPr>
      </w:pPr>
      <w:bookmarkStart w:id="102" w:name="_Toc17961"/>
      <w:bookmarkStart w:id="103" w:name="_Toc30205"/>
      <w:bookmarkStart w:id="104" w:name="_Toc121471667"/>
      <w:bookmarkStart w:id="105" w:name="_Toc29908"/>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投标文件的编制</w:t>
      </w:r>
      <w:bookmarkEnd w:id="102"/>
      <w:bookmarkEnd w:id="103"/>
      <w:bookmarkEnd w:id="104"/>
      <w:bookmarkEnd w:id="10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按招标文件第</w:t>
      </w:r>
      <w:r>
        <w:rPr>
          <w:rFonts w:ascii="宋体" w:hAnsi="宋体"/>
          <w:bCs/>
          <w:snapToGrid w:val="0"/>
          <w:color w:val="auto"/>
          <w:sz w:val="28"/>
          <w:szCs w:val="28"/>
          <w:highlight w:val="none"/>
          <w:lang w:val="zh-CN"/>
        </w:rPr>
        <w:t>13.1</w:t>
      </w:r>
      <w:r>
        <w:rPr>
          <w:rFonts w:hint="eastAsia" w:ascii="宋体" w:hAnsi="宋体"/>
          <w:bCs/>
          <w:snapToGrid w:val="0"/>
          <w:color w:val="auto"/>
          <w:sz w:val="28"/>
          <w:szCs w:val="28"/>
          <w:highlight w:val="none"/>
          <w:lang w:val="zh-CN"/>
        </w:rPr>
        <w:t>条的内容与要求和第三章明确的格式编</w:t>
      </w:r>
      <w:r>
        <w:rPr>
          <w:rFonts w:hint="eastAsia" w:ascii="宋体" w:hAnsi="宋体"/>
          <w:bCs/>
          <w:color w:val="auto"/>
          <w:sz w:val="28"/>
          <w:szCs w:val="28"/>
          <w:highlight w:val="none"/>
          <w:lang w:val="zh-CN"/>
        </w:rPr>
        <w:t>制</w:t>
      </w:r>
      <w:r>
        <w:rPr>
          <w:rFonts w:hint="eastAsia" w:ascii="宋体" w:hAnsi="宋体"/>
          <w:bCs/>
          <w:snapToGrid w:val="0"/>
          <w:color w:val="auto"/>
          <w:sz w:val="28"/>
          <w:szCs w:val="28"/>
          <w:highlight w:val="none"/>
          <w:lang w:val="zh-CN"/>
        </w:rPr>
        <w:t>投标文件。</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14.2投标文件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w:t>
      </w:r>
      <w:r>
        <w:rPr>
          <w:rFonts w:hint="eastAsia" w:ascii="宋体" w:hAnsi="宋体"/>
          <w:bCs/>
          <w:color w:val="auto"/>
          <w:sz w:val="28"/>
          <w:szCs w:val="28"/>
          <w:highlight w:val="none"/>
        </w:rPr>
        <w:t>应当</w:t>
      </w:r>
      <w:r>
        <w:rPr>
          <w:rFonts w:hint="eastAsia" w:ascii="宋体" w:hAnsi="宋体"/>
          <w:color w:val="auto"/>
          <w:sz w:val="28"/>
          <w:szCs w:val="28"/>
          <w:highlight w:val="none"/>
        </w:rPr>
        <w:t>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14.3投标文件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r>
        <w:rPr>
          <w:rFonts w:hint="eastAsia" w:ascii="宋体" w:hAnsi="宋体"/>
          <w:color w:val="auto"/>
          <w:sz w:val="28"/>
          <w:szCs w:val="28"/>
          <w:highlight w:val="none"/>
        </w:rPr>
        <w:t>开标一览表表格应当按照规定的要素填写，其中：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招标文件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，调整顺序的不影响投标有效性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olor w:val="auto"/>
          <w:sz w:val="28"/>
          <w:szCs w:val="28"/>
          <w:highlight w:val="none"/>
        </w:rPr>
        <w:t>（3）单元格内容相同的，可以合并。</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投标文件正本应当打印，</w:t>
      </w:r>
      <w:r>
        <w:rPr>
          <w:rFonts w:hint="eastAsia" w:ascii="宋体" w:hAnsi="宋体"/>
          <w:bCs/>
          <w:color w:val="auto"/>
          <w:sz w:val="28"/>
          <w:szCs w:val="28"/>
          <w:highlight w:val="none"/>
        </w:rPr>
        <w:t>并按照招标文件规定</w:t>
      </w:r>
      <w:r>
        <w:rPr>
          <w:rFonts w:hint="eastAsia" w:ascii="宋体" w:hAnsi="宋体"/>
          <w:bCs/>
          <w:color w:val="auto"/>
          <w:sz w:val="28"/>
          <w:szCs w:val="28"/>
          <w:highlight w:val="none"/>
          <w:lang w:val="zh-CN"/>
        </w:rPr>
        <w:t>，</w:t>
      </w:r>
      <w:r>
        <w:rPr>
          <w:rFonts w:hint="eastAsia" w:ascii="宋体" w:hAnsi="宋体"/>
          <w:bCs/>
          <w:color w:val="auto"/>
          <w:sz w:val="28"/>
          <w:szCs w:val="28"/>
          <w:highlight w:val="none"/>
        </w:rPr>
        <w:t>应当盖章处加盖投标供应商公章，</w:t>
      </w:r>
      <w:r>
        <w:rPr>
          <w:rFonts w:hint="eastAsia" w:ascii="宋体" w:hAnsi="宋体"/>
          <w:bCs/>
          <w:color w:val="auto"/>
          <w:sz w:val="28"/>
          <w:szCs w:val="28"/>
          <w:highlight w:val="none"/>
          <w:lang w:val="zh-CN"/>
        </w:rPr>
        <w:t>应当</w:t>
      </w:r>
      <w:r>
        <w:rPr>
          <w:rFonts w:hint="eastAsia" w:ascii="宋体" w:hAnsi="宋体"/>
          <w:bCs/>
          <w:color w:val="auto"/>
          <w:sz w:val="28"/>
          <w:szCs w:val="28"/>
          <w:highlight w:val="none"/>
        </w:rPr>
        <w:t>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.6</w:t>
      </w:r>
      <w:r>
        <w:rPr>
          <w:rFonts w:hint="eastAsia" w:ascii="宋体" w:hAnsi="宋体"/>
          <w:bCs/>
          <w:color w:val="auto"/>
          <w:sz w:val="28"/>
          <w:szCs w:val="28"/>
          <w:highlight w:val="none"/>
          <w:lang w:val="zh-CN"/>
        </w:rPr>
        <w:t>投标供应商应当提交</w:t>
      </w:r>
      <w:r>
        <w:rPr>
          <w:rFonts w:hint="eastAsia" w:ascii="宋体" w:hAnsi="宋体"/>
          <w:bCs/>
          <w:snapToGrid w:val="0"/>
          <w:color w:val="auto"/>
          <w:sz w:val="28"/>
          <w:szCs w:val="28"/>
          <w:highlight w:val="none"/>
          <w:lang w:val="zh-CN"/>
        </w:rPr>
        <w:t>投标文件正本一份，副本</w:t>
      </w:r>
      <w:r>
        <w:rPr>
          <w:rFonts w:hint="eastAsia" w:ascii="宋体" w:hAnsi="宋体"/>
          <w:bCs/>
          <w:color w:val="auto"/>
          <w:sz w:val="28"/>
          <w:szCs w:val="28"/>
          <w:highlight w:val="none"/>
          <w:lang w:val="zh-CN"/>
        </w:rPr>
        <w:t>、电子版</w:t>
      </w:r>
      <w:r>
        <w:rPr>
          <w:rFonts w:hint="eastAsia" w:ascii="宋体" w:hAnsi="宋体"/>
          <w:bCs/>
          <w:snapToGrid w:val="0"/>
          <w:color w:val="auto"/>
          <w:sz w:val="28"/>
          <w:szCs w:val="28"/>
          <w:highlight w:val="none"/>
          <w:lang w:val="zh-CN"/>
        </w:rPr>
        <w:t>份数见【投标供应商须知前附表】。投标文件正本和副本的封面右上角上应当清楚标记“正本”或“副本”字样。当副本和正本不一致或电子版文件与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正本文件不一致时，以</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.7</w:t>
      </w:r>
      <w:r>
        <w:rPr>
          <w:rFonts w:hint="eastAsia" w:ascii="宋体" w:hAnsi="宋体"/>
          <w:bCs/>
          <w:snapToGrid w:val="0"/>
          <w:color w:val="auto"/>
          <w:sz w:val="28"/>
          <w:szCs w:val="28"/>
          <w:highlight w:val="none"/>
          <w:lang w:val="zh-CN"/>
        </w:rPr>
        <w:t>投标文件</w:t>
      </w:r>
      <w:r>
        <w:rPr>
          <w:rFonts w:hint="eastAsia" w:ascii="宋体" w:hAnsi="宋体"/>
          <w:bCs/>
          <w:color w:val="auto"/>
          <w:sz w:val="28"/>
          <w:szCs w:val="28"/>
          <w:highlight w:val="none"/>
        </w:rPr>
        <w:t>正本</w:t>
      </w:r>
      <w:r>
        <w:rPr>
          <w:rFonts w:hint="eastAsia" w:ascii="宋体" w:hAnsi="宋体"/>
          <w:bCs/>
          <w:snapToGrid w:val="0"/>
          <w:color w:val="auto"/>
          <w:sz w:val="28"/>
          <w:szCs w:val="28"/>
          <w:highlight w:val="none"/>
          <w:lang w:val="zh-CN"/>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snapToGrid w:val="0"/>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6" w:name="_Toc121471668"/>
      <w:bookmarkStart w:id="107" w:name="_Toc31690"/>
      <w:bookmarkStart w:id="108" w:name="_Toc8319"/>
      <w:bookmarkStart w:id="109" w:name="_Toc30128"/>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投标有效期</w:t>
      </w:r>
      <w:bookmarkEnd w:id="106"/>
      <w:bookmarkEnd w:id="107"/>
      <w:bookmarkEnd w:id="108"/>
      <w:bookmarkEnd w:id="10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.1投标</w:t>
      </w:r>
      <w:r>
        <w:rPr>
          <w:rFonts w:hint="eastAsia" w:ascii="宋体" w:hAnsi="宋体"/>
          <w:bCs/>
          <w:snapToGrid w:val="0"/>
          <w:color w:val="auto"/>
          <w:sz w:val="28"/>
          <w:szCs w:val="28"/>
          <w:highlight w:val="none"/>
          <w:lang w:val="zh-CN"/>
        </w:rPr>
        <w:t>有效期从提交投标文件的截止之日起算。投标文件中承诺的投标有效期应当不少于【投标供应商须知前附表】中载明的投标有效期，否则</w:t>
      </w:r>
      <w:r>
        <w:rPr>
          <w:rFonts w:hint="eastAsia" w:ascii="宋体" w:hAnsi="宋体"/>
          <w:bCs/>
          <w:color w:val="auto"/>
          <w:sz w:val="28"/>
          <w:szCs w:val="28"/>
          <w:highlight w:val="none"/>
          <w:lang w:val="zh-CN"/>
        </w:rPr>
        <w:t>视为无效</w:t>
      </w:r>
      <w:r>
        <w:rPr>
          <w:rFonts w:hint="eastAsia" w:ascii="宋体" w:hAnsi="宋体"/>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snapToGrid w:val="0"/>
          <w:color w:val="auto"/>
          <w:sz w:val="28"/>
          <w:szCs w:val="28"/>
          <w:highlight w:val="none"/>
          <w:lang w:val="zh-CN"/>
        </w:rPr>
        <w:t>得</w:t>
      </w:r>
      <w:r>
        <w:rPr>
          <w:rFonts w:ascii="宋体" w:hAnsi="宋体"/>
          <w:bCs/>
          <w:snapToGrid w:val="0"/>
          <w:color w:val="auto"/>
          <w:sz w:val="28"/>
          <w:szCs w:val="28"/>
          <w:highlight w:val="none"/>
          <w:lang w:val="zh-CN"/>
        </w:rPr>
        <w:t>修改投标文件。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10" w:name="_Toc22772"/>
      <w:bookmarkStart w:id="111" w:name="_Toc12647"/>
      <w:bookmarkStart w:id="112" w:name="_Toc25691"/>
      <w:bookmarkStart w:id="113" w:name="_Toc121471669"/>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投标报价</w:t>
      </w:r>
      <w:bookmarkEnd w:id="110"/>
      <w:bookmarkEnd w:id="111"/>
      <w:bookmarkEnd w:id="112"/>
      <w:bookmarkEnd w:id="11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.1所有报价均以人民币为货币单位。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.2所有单价和总价按照开标一览表格式要求填报。报价应当包括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.3</w:t>
      </w:r>
      <w:bookmarkStart w:id="114" w:name="_Hlk129935109"/>
      <w:r>
        <w:rPr>
          <w:rFonts w:ascii="宋体" w:hAnsi="宋体"/>
          <w:bCs/>
          <w:snapToGrid w:val="0"/>
          <w:color w:val="auto"/>
          <w:sz w:val="28"/>
          <w:szCs w:val="28"/>
          <w:highlight w:val="none"/>
          <w:lang w:val="zh-CN"/>
        </w:rPr>
        <w:t>投标供应商对同一种</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只允许有</w:t>
      </w:r>
      <w:r>
        <w:rPr>
          <w:rFonts w:hint="eastAsia" w:ascii="宋体" w:hAnsi="宋体"/>
          <w:bCs/>
          <w:snapToGrid w:val="0"/>
          <w:color w:val="auto"/>
          <w:sz w:val="28"/>
          <w:szCs w:val="28"/>
          <w:highlight w:val="none"/>
          <w:lang w:val="zh-CN"/>
        </w:rPr>
        <w:t>唯一</w:t>
      </w:r>
      <w:r>
        <w:rPr>
          <w:rFonts w:ascii="宋体" w:hAnsi="宋体"/>
          <w:bCs/>
          <w:snapToGrid w:val="0"/>
          <w:color w:val="auto"/>
          <w:sz w:val="28"/>
          <w:szCs w:val="28"/>
          <w:highlight w:val="none"/>
          <w:lang w:val="zh-CN"/>
        </w:rPr>
        <w:t>报价，任何有选择的报价或有附加条件的报价</w:t>
      </w:r>
      <w:r>
        <w:rPr>
          <w:rFonts w:hint="eastAsia" w:ascii="宋体" w:hAnsi="宋体"/>
          <w:bCs/>
          <w:snapToGrid w:val="0"/>
          <w:color w:val="auto"/>
          <w:sz w:val="28"/>
          <w:szCs w:val="28"/>
          <w:highlight w:val="none"/>
          <w:lang w:val="zh-CN"/>
        </w:rPr>
        <w:t>，视为无效投标。</w:t>
      </w:r>
      <w:bookmarkEnd w:id="11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投标报价的其他要求见【投标供应商须知前附表】。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15" w:name="_Toc10671"/>
      <w:bookmarkStart w:id="116" w:name="_Toc121471670"/>
      <w:bookmarkStart w:id="117" w:name="_Toc8032"/>
      <w:bookmarkStart w:id="118" w:name="_Toc30157"/>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投标保证金</w:t>
      </w:r>
      <w:bookmarkEnd w:id="115"/>
      <w:bookmarkEnd w:id="116"/>
      <w:bookmarkEnd w:id="117"/>
      <w:bookmarkEnd w:id="1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投标保证金要求见【投标供应商须知前附表】。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投</w:t>
      </w:r>
      <w:r>
        <w:rPr>
          <w:rFonts w:hint="eastAsia" w:ascii="宋体" w:hAnsi="宋体"/>
          <w:bCs/>
          <w:snapToGrid w:val="0"/>
          <w:sz w:val="28"/>
          <w:szCs w:val="28"/>
          <w:highlight w:val="none"/>
          <w:lang w:val="zh-CN"/>
        </w:rPr>
        <w:t>标保证金采取金融机构、担保机构出具的保函，须提供1份保函原件，投标时单独提交。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.3中标供应商的投标保证金，在签订正式合同后5个工作日内全额无息退还。未中标供应商的投标保证金，将在采购机构发出未中标通知书后5个工作日内全额无息退还。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.4有下列情况之一的，投标保证金将不予退还：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1）开标后投标供应商在投标有效期内撤回其投标文件的；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2）投标供应商干扰开标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评标活动，造成严重影响和后果的；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3）虚假投标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4）中标</w:t>
      </w:r>
      <w:r>
        <w:rPr>
          <w:rFonts w:hint="eastAsia" w:ascii="宋体" w:hAnsi="宋体"/>
          <w:bCs/>
          <w:snapToGrid w:val="0"/>
          <w:color w:val="auto"/>
          <w:sz w:val="28"/>
          <w:szCs w:val="28"/>
          <w:highlight w:val="none"/>
          <w:lang w:val="zh-CN"/>
        </w:rPr>
        <w:t>（预中标）</w:t>
      </w:r>
      <w:r>
        <w:rPr>
          <w:rFonts w:ascii="宋体" w:hAnsi="宋体"/>
          <w:bCs/>
          <w:snapToGrid w:val="0"/>
          <w:color w:val="auto"/>
          <w:sz w:val="28"/>
          <w:szCs w:val="28"/>
          <w:highlight w:val="none"/>
          <w:lang w:val="zh-CN"/>
        </w:rPr>
        <w:t>供应商无正当理由放弃中标的；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119" w:name="_Hlk130371293"/>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bookmarkEnd w:id="119"/>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bookmarkStart w:id="120"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21" w:name="_Toc121471671"/>
      <w:bookmarkStart w:id="122" w:name="_Toc2293"/>
      <w:bookmarkStart w:id="123" w:name="_Toc27373"/>
      <w:bookmarkStart w:id="124" w:name="_Toc14022"/>
      <w:bookmarkStart w:id="125" w:name="_Toc128150123"/>
      <w:bookmarkStart w:id="126" w:name="_Toc132398770"/>
      <w:r>
        <w:rPr>
          <w:rFonts w:hint="eastAsia" w:ascii="黑体" w:hAnsi="黑体" w:eastAsia="黑体"/>
          <w:b w:val="0"/>
          <w:color w:val="auto"/>
          <w:highlight w:val="none"/>
        </w:rPr>
        <w:t>四、投标文件</w:t>
      </w:r>
      <w:bookmarkEnd w:id="120"/>
      <w:bookmarkEnd w:id="121"/>
      <w:bookmarkEnd w:id="122"/>
      <w:bookmarkEnd w:id="123"/>
      <w:bookmarkEnd w:id="124"/>
      <w:bookmarkEnd w:id="125"/>
      <w:r>
        <w:rPr>
          <w:rFonts w:hint="eastAsia" w:ascii="黑体" w:hAnsi="黑体" w:eastAsia="黑体"/>
          <w:b w:val="0"/>
          <w:color w:val="auto"/>
          <w:highlight w:val="none"/>
        </w:rPr>
        <w:t>提交</w:t>
      </w:r>
      <w:bookmarkEnd w:id="12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7" w:name="_Toc11007"/>
      <w:bookmarkStart w:id="128" w:name="_Toc12535"/>
      <w:bookmarkStart w:id="129" w:name="_Toc2213"/>
      <w:bookmarkStart w:id="130" w:name="_Toc121471672"/>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投标文件密封及标记</w:t>
      </w:r>
      <w:bookmarkEnd w:id="127"/>
      <w:bookmarkEnd w:id="128"/>
      <w:bookmarkEnd w:id="129"/>
      <w:bookmarkEnd w:id="13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投标文件中“价格文件”应当与“商务技术文件”和“资格证明文件”分开，单独密封包装，并在封套的封口处加盖投标供应商公章。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投标文件封套上应当写明</w:t>
      </w:r>
      <w:r>
        <w:rPr>
          <w:rFonts w:ascii="宋体" w:hAnsi="宋体"/>
          <w:bCs/>
          <w:snapToGrid w:val="0"/>
          <w:color w:val="auto"/>
          <w:sz w:val="28"/>
          <w:szCs w:val="28"/>
          <w:highlight w:val="none"/>
          <w:lang w:val="zh-CN"/>
        </w:rPr>
        <w:t>项目名称、项目编号、所投包号、投标供应商名称</w:t>
      </w:r>
      <w:r>
        <w:rPr>
          <w:rFonts w:hint="eastAsia" w:ascii="宋体" w:hAnsi="宋体"/>
          <w:bCs/>
          <w:snapToGrid w:val="0"/>
          <w:color w:val="auto"/>
          <w:sz w:val="28"/>
          <w:szCs w:val="28"/>
          <w:highlight w:val="none"/>
          <w:lang w:val="zh-CN"/>
        </w:rPr>
        <w:t>，以及“价格文件”“商务技术文件”</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“资格证明文件”</w:t>
      </w:r>
      <w:r>
        <w:rPr>
          <w:rFonts w:ascii="宋体" w:hAnsi="宋体"/>
          <w:bCs/>
          <w:snapToGrid w:val="0"/>
          <w:color w:val="auto"/>
          <w:sz w:val="28"/>
          <w:szCs w:val="28"/>
          <w:highlight w:val="none"/>
          <w:lang w:val="zh-CN"/>
        </w:rPr>
        <w:t>和“开标时启封”字样。</w:t>
      </w:r>
    </w:p>
    <w:p>
      <w:pPr>
        <w:pStyle w:val="17"/>
        <w:spacing w:after="0"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18.3评审方法为质量优先法的，开标一览表分为“开标一览表（不含价格）”和“开标一览表（含价格）”两部分，“开标一览表（不含价格）”应当单独密封包装，在封面注明“开标一览表（不含价格）”字样。其他要求同第18.1条和第18.2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.4投标供应商应当在</w:t>
      </w:r>
      <w:r>
        <w:rPr>
          <w:rFonts w:hint="eastAsia" w:ascii="宋体" w:hAnsi="宋体"/>
          <w:bCs/>
          <w:snapToGrid w:val="0"/>
          <w:color w:val="auto"/>
          <w:sz w:val="28"/>
          <w:szCs w:val="28"/>
          <w:highlight w:val="none"/>
          <w:lang w:val="zh-CN"/>
        </w:rPr>
        <w:t>【投标供应商须知前附表】明确</w:t>
      </w:r>
      <w:r>
        <w:rPr>
          <w:rFonts w:ascii="宋体" w:hAnsi="宋体"/>
          <w:bCs/>
          <w:snapToGrid w:val="0"/>
          <w:color w:val="auto"/>
          <w:sz w:val="28"/>
          <w:szCs w:val="28"/>
          <w:highlight w:val="none"/>
          <w:lang w:val="zh-CN"/>
        </w:rPr>
        <w:t>的提交投标文件截止时间前，将投标文件送达采购机构指定地点。</w:t>
      </w:r>
      <w:bookmarkStart w:id="131" w:name="_Hlk112260229"/>
      <w:r>
        <w:rPr>
          <w:rFonts w:ascii="宋体" w:hAnsi="宋体"/>
          <w:bCs/>
          <w:snapToGrid w:val="0"/>
          <w:color w:val="auto"/>
          <w:sz w:val="28"/>
          <w:szCs w:val="28"/>
          <w:highlight w:val="none"/>
          <w:lang w:val="zh-CN"/>
        </w:rPr>
        <w:t>逾期提交</w:t>
      </w:r>
      <w:r>
        <w:rPr>
          <w:rFonts w:hint="eastAsia" w:ascii="宋体" w:hAnsi="宋体"/>
          <w:bCs/>
          <w:snapToGrid w:val="0"/>
          <w:color w:val="auto"/>
          <w:sz w:val="28"/>
          <w:szCs w:val="28"/>
          <w:highlight w:val="none"/>
          <w:lang w:val="zh-CN"/>
        </w:rPr>
        <w:t>的投标文件</w:t>
      </w:r>
      <w:r>
        <w:rPr>
          <w:rFonts w:ascii="宋体" w:hAnsi="宋体"/>
          <w:bCs/>
          <w:snapToGrid w:val="0"/>
          <w:color w:val="auto"/>
          <w:sz w:val="28"/>
          <w:szCs w:val="28"/>
          <w:highlight w:val="none"/>
          <w:lang w:val="zh-CN"/>
        </w:rPr>
        <w:t>，采购机构将拒收</w:t>
      </w:r>
      <w:bookmarkEnd w:id="131"/>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.5电报、电话、电传、邮寄等形式的投标文件概不</w:t>
      </w:r>
      <w:r>
        <w:rPr>
          <w:rFonts w:hint="eastAsia" w:ascii="宋体" w:hAnsi="宋体"/>
          <w:bCs/>
          <w:snapToGrid w:val="0"/>
          <w:color w:val="auto"/>
          <w:sz w:val="28"/>
          <w:szCs w:val="28"/>
          <w:highlight w:val="none"/>
          <w:lang w:val="zh-CN"/>
        </w:rPr>
        <w:t>接收</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.6投标文件未按要求密封、标记的，采购机构将拒收。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2" w:name="_Toc11282"/>
      <w:bookmarkStart w:id="133" w:name="_Toc28628"/>
      <w:bookmarkStart w:id="134" w:name="_Toc121471673"/>
      <w:bookmarkStart w:id="135" w:name="_Toc11424"/>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投标文件的修改和撤回</w:t>
      </w:r>
      <w:bookmarkEnd w:id="132"/>
      <w:bookmarkEnd w:id="133"/>
      <w:bookmarkEnd w:id="134"/>
      <w:bookmarkEnd w:id="13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.1投标供应商在投标截止时间前，可以对提交的投标文件进行补充、修改或撤回</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snapToGrid w:val="0"/>
          <w:color w:val="auto"/>
          <w:sz w:val="28"/>
          <w:szCs w:val="28"/>
          <w:highlight w:val="none"/>
          <w:lang w:val="zh-CN"/>
        </w:rPr>
        <w:t>修改的内容应当以书面形式</w:t>
      </w:r>
      <w:r>
        <w:rPr>
          <w:rFonts w:hint="eastAsia" w:ascii="宋体" w:hAnsi="宋体"/>
          <w:bCs/>
          <w:snapToGrid w:val="0"/>
          <w:color w:val="auto"/>
          <w:sz w:val="28"/>
          <w:szCs w:val="28"/>
          <w:highlight w:val="none"/>
          <w:lang w:val="zh-CN"/>
        </w:rPr>
        <w:t>提交</w:t>
      </w:r>
      <w:r>
        <w:rPr>
          <w:rFonts w:ascii="宋体" w:hAnsi="宋体"/>
          <w:bCs/>
          <w:snapToGrid w:val="0"/>
          <w:color w:val="auto"/>
          <w:sz w:val="28"/>
          <w:szCs w:val="28"/>
          <w:highlight w:val="none"/>
          <w:lang w:val="zh-CN"/>
        </w:rPr>
        <w:t>采购机构，并按照招标文件要求</w:t>
      </w:r>
      <w:r>
        <w:rPr>
          <w:rFonts w:hint="eastAsia" w:ascii="宋体" w:hAnsi="宋体"/>
          <w:bCs/>
          <w:color w:val="auto"/>
          <w:sz w:val="28"/>
          <w:szCs w:val="28"/>
          <w:highlight w:val="none"/>
          <w:lang w:val="zh-CN"/>
        </w:rPr>
        <w:t>签字</w:t>
      </w:r>
      <w:r>
        <w:rPr>
          <w:rFonts w:ascii="宋体" w:hAnsi="宋体"/>
          <w:bCs/>
          <w:snapToGrid w:val="0"/>
          <w:color w:val="auto"/>
          <w:sz w:val="28"/>
          <w:szCs w:val="28"/>
          <w:highlight w:val="none"/>
          <w:lang w:val="zh-CN"/>
        </w:rPr>
        <w:t>盖章，作为投标文件的组成部分。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投标截止时间后，</w:t>
      </w:r>
      <w:r>
        <w:rPr>
          <w:rFonts w:ascii="宋体" w:hAnsi="宋体"/>
          <w:bCs/>
          <w:snapToGrid w:val="0"/>
          <w:color w:val="auto"/>
          <w:sz w:val="28"/>
          <w:szCs w:val="28"/>
          <w:highlight w:val="none"/>
          <w:lang w:val="zh-CN"/>
        </w:rPr>
        <w:t>采购机构不接受对投标文件内容的实质性修改</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.3投标供应商修改投标文件的书面材料，</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密封送达投标地点，并在封面上标明项目名称、项目编号、投标供应商名称和</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投标修改文件</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“开标时启封”字样。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.4投标供应商撤回投标应当以书面形式通知采购机构。采取电报或传真形式撤回投标的，</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补充</w:t>
      </w:r>
      <w:r>
        <w:rPr>
          <w:rFonts w:hint="eastAsia" w:ascii="宋体" w:hAnsi="宋体"/>
          <w:bCs/>
          <w:snapToGrid w:val="0"/>
          <w:color w:val="auto"/>
          <w:sz w:val="28"/>
          <w:szCs w:val="28"/>
          <w:highlight w:val="none"/>
          <w:lang w:val="zh-CN"/>
        </w:rPr>
        <w:t>法定代表人（签字或盖章）或授权代表（签字）</w:t>
      </w:r>
      <w:r>
        <w:rPr>
          <w:rFonts w:ascii="宋体" w:hAnsi="宋体"/>
          <w:bCs/>
          <w:snapToGrid w:val="0"/>
          <w:color w:val="auto"/>
          <w:sz w:val="28"/>
          <w:szCs w:val="28"/>
          <w:highlight w:val="none"/>
          <w:lang w:val="zh-CN"/>
        </w:rPr>
        <w:t>的撤回投标的正式文件。撤回投标的时间以投标供应商的书面撤回通知送达采购机构时间为准。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.5开标后，投标供应商不得撤回投标，否则投标保证金不予退还。</w:t>
      </w:r>
      <w:bookmarkStart w:id="136"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37" w:name="_Toc121471674"/>
      <w:bookmarkStart w:id="138" w:name="_Toc10243"/>
      <w:bookmarkStart w:id="139" w:name="_Toc132398771"/>
      <w:bookmarkStart w:id="140" w:name="_Toc14532"/>
      <w:bookmarkStart w:id="141" w:name="_Toc10555"/>
      <w:bookmarkStart w:id="142" w:name="_Toc128150124"/>
      <w:r>
        <w:rPr>
          <w:rFonts w:hint="eastAsia" w:ascii="黑体" w:hAnsi="黑体" w:eastAsia="黑体"/>
          <w:b w:val="0"/>
          <w:color w:val="auto"/>
          <w:highlight w:val="none"/>
        </w:rPr>
        <w:t>五、开标与评标</w:t>
      </w:r>
      <w:bookmarkEnd w:id="136"/>
      <w:bookmarkEnd w:id="137"/>
      <w:bookmarkEnd w:id="138"/>
      <w:bookmarkEnd w:id="139"/>
      <w:bookmarkEnd w:id="140"/>
      <w:bookmarkEnd w:id="141"/>
      <w:bookmarkEnd w:id="14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43" w:name="_Toc18543"/>
      <w:bookmarkStart w:id="144" w:name="_Toc9187"/>
      <w:bookmarkStart w:id="145" w:name="_Toc121471675"/>
      <w:bookmarkStart w:id="146" w:name="_Toc27104"/>
      <w:r>
        <w:rPr>
          <w:rFonts w:ascii="黑体" w:hAnsi="黑体"/>
          <w:b w:val="0"/>
          <w:color w:val="auto"/>
          <w:highlight w:val="none"/>
        </w:rPr>
        <w:t>2</w:t>
      </w:r>
      <w:r>
        <w:rPr>
          <w:rFonts w:hint="eastAsia" w:ascii="黑体" w:hAnsi="黑体"/>
          <w:b w:val="0"/>
          <w:color w:val="auto"/>
          <w:highlight w:val="none"/>
        </w:rPr>
        <w:t>0</w:t>
      </w:r>
      <w:r>
        <w:rPr>
          <w:rFonts w:ascii="黑体" w:hAnsi="黑体"/>
          <w:b w:val="0"/>
          <w:color w:val="auto"/>
          <w:highlight w:val="none"/>
        </w:rPr>
        <w:t>.</w:t>
      </w:r>
      <w:r>
        <w:rPr>
          <w:rFonts w:hint="eastAsia" w:ascii="黑体" w:hAnsi="黑体"/>
          <w:b w:val="0"/>
          <w:color w:val="auto"/>
          <w:highlight w:val="none"/>
        </w:rPr>
        <w:t>开标</w:t>
      </w:r>
      <w:bookmarkEnd w:id="143"/>
      <w:bookmarkEnd w:id="144"/>
      <w:bookmarkEnd w:id="145"/>
      <w:bookmarkEnd w:id="14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成功提交投标文件的投标供应商不足3家的，一般不得组织开标，满足第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r>
        <w:rPr>
          <w:rFonts w:ascii="宋体" w:hAnsi="宋体"/>
          <w:bCs/>
          <w:snapToGrid w:val="0"/>
          <w:color w:val="auto"/>
          <w:sz w:val="28"/>
          <w:szCs w:val="28"/>
          <w:highlight w:val="none"/>
          <w:lang w:val="zh-CN"/>
        </w:rPr>
        <w:t>采购机构按</w:t>
      </w:r>
      <w:r>
        <w:rPr>
          <w:rFonts w:hint="eastAsia" w:ascii="宋体" w:hAnsi="宋体"/>
          <w:bCs/>
          <w:snapToGrid w:val="0"/>
          <w:color w:val="auto"/>
          <w:sz w:val="28"/>
          <w:szCs w:val="28"/>
          <w:highlight w:val="none"/>
          <w:lang w:val="zh-CN"/>
        </w:rPr>
        <w:t>【投标供应商须知前附表】明确</w:t>
      </w:r>
      <w:r>
        <w:rPr>
          <w:rFonts w:ascii="宋体" w:hAnsi="宋体"/>
          <w:bCs/>
          <w:snapToGrid w:val="0"/>
          <w:color w:val="auto"/>
          <w:sz w:val="28"/>
          <w:szCs w:val="28"/>
          <w:highlight w:val="none"/>
          <w:lang w:val="zh-CN"/>
        </w:rPr>
        <w:t>的时间、地点</w:t>
      </w:r>
      <w:r>
        <w:rPr>
          <w:rFonts w:hint="eastAsia" w:ascii="宋体" w:hAnsi="宋体"/>
          <w:bCs/>
          <w:snapToGrid w:val="0"/>
          <w:color w:val="auto"/>
          <w:sz w:val="28"/>
          <w:szCs w:val="28"/>
          <w:highlight w:val="none"/>
          <w:lang w:val="zh-CN"/>
        </w:rPr>
        <w:t>组织</w:t>
      </w:r>
      <w:r>
        <w:rPr>
          <w:rFonts w:ascii="宋体" w:hAnsi="宋体"/>
          <w:bCs/>
          <w:snapToGrid w:val="0"/>
          <w:color w:val="auto"/>
          <w:sz w:val="28"/>
          <w:szCs w:val="28"/>
          <w:highlight w:val="none"/>
          <w:lang w:val="zh-CN"/>
        </w:rPr>
        <w:t>开标</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投标供应商和有关方面代表参加。</w:t>
      </w:r>
      <w:r>
        <w:rPr>
          <w:rFonts w:hint="eastAsia" w:ascii="宋体" w:hAnsi="宋体"/>
          <w:bCs/>
          <w:snapToGrid w:val="0"/>
          <w:color w:val="auto"/>
          <w:sz w:val="28"/>
          <w:szCs w:val="28"/>
          <w:highlight w:val="none"/>
          <w:lang w:val="zh-CN"/>
        </w:rPr>
        <w:t>评审委员会</w:t>
      </w:r>
      <w:r>
        <w:rPr>
          <w:rFonts w:ascii="宋体" w:hAnsi="宋体"/>
          <w:bCs/>
          <w:snapToGrid w:val="0"/>
          <w:color w:val="auto"/>
          <w:sz w:val="28"/>
          <w:szCs w:val="28"/>
          <w:highlight w:val="none"/>
          <w:lang w:val="zh-CN"/>
        </w:rPr>
        <w:t>成员不得参加开标大会。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开标时，由投标供应商或其推选的代表检查所有投标文件的密封情况并当场公布检查结果。经确认无误后，当众</w:t>
      </w:r>
      <w:bookmarkStart w:id="147" w:name="_Hlk112507062"/>
      <w:r>
        <w:rPr>
          <w:rFonts w:hint="eastAsia" w:ascii="宋体" w:hAnsi="宋体"/>
          <w:bCs/>
          <w:snapToGrid w:val="0"/>
          <w:color w:val="auto"/>
          <w:sz w:val="28"/>
          <w:szCs w:val="28"/>
          <w:highlight w:val="none"/>
          <w:lang w:val="zh-CN"/>
        </w:rPr>
        <w:t>拆封</w:t>
      </w:r>
      <w:bookmarkEnd w:id="147"/>
      <w:r>
        <w:rPr>
          <w:rFonts w:hint="eastAsia" w:ascii="宋体" w:hAnsi="宋体"/>
          <w:bCs/>
          <w:snapToGrid w:val="0"/>
          <w:color w:val="auto"/>
          <w:sz w:val="28"/>
          <w:szCs w:val="28"/>
          <w:highlight w:val="none"/>
          <w:lang w:val="zh-CN"/>
        </w:rPr>
        <w:t>投标文件，宣读价格文件中“开标一览表”的全部内容，开标未宣读的投标报价信息无效。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采用质量优先法评审的，第一次开标：当众拆封“</w:t>
      </w:r>
      <w:r>
        <w:rPr>
          <w:rFonts w:hint="eastAsia" w:ascii="宋体" w:hAnsi="宋体"/>
          <w:bCs/>
          <w:color w:val="auto"/>
          <w:sz w:val="28"/>
          <w:szCs w:val="28"/>
          <w:highlight w:val="none"/>
        </w:rPr>
        <w:t>开标一览表（不含价格）</w:t>
      </w:r>
      <w:r>
        <w:rPr>
          <w:rFonts w:hint="eastAsia" w:ascii="宋体" w:hAnsi="宋体"/>
          <w:bCs/>
          <w:snapToGrid w:val="0"/>
          <w:color w:val="auto"/>
          <w:sz w:val="28"/>
          <w:szCs w:val="28"/>
          <w:highlight w:val="none"/>
          <w:lang w:val="zh-CN"/>
        </w:rPr>
        <w:t>”，宣读公布投标供应商名称、投标包号（包名称）、主要</w:t>
      </w:r>
      <w:r>
        <w:rPr>
          <w:rFonts w:hint="eastAsia" w:ascii="宋体" w:hAnsi="宋体"/>
          <w:bCs/>
          <w:snapToGrid w:val="0"/>
          <w:color w:val="auto"/>
          <w:sz w:val="28"/>
          <w:szCs w:val="28"/>
          <w:highlight w:val="none"/>
        </w:rPr>
        <w:t>服务等</w:t>
      </w:r>
      <w:r>
        <w:rPr>
          <w:rFonts w:hint="eastAsia" w:ascii="宋体" w:hAnsi="宋体"/>
          <w:bCs/>
          <w:snapToGrid w:val="0"/>
          <w:color w:val="auto"/>
          <w:sz w:val="28"/>
          <w:szCs w:val="28"/>
          <w:highlight w:val="none"/>
          <w:lang w:val="zh-CN"/>
        </w:rPr>
        <w:t>内容，“价格文件”不予拆封。第二次开标：在商务、技术评审后，现场宣布商务、技术得分和技术排名，公布技术得分达到</w:t>
      </w:r>
      <w:r>
        <w:rPr>
          <w:rFonts w:hint="eastAsia" w:asciiTheme="minorEastAsia" w:hAnsiTheme="minorEastAsia" w:eastAsiaTheme="minorEastAsia"/>
          <w:bCs/>
          <w:snapToGrid w:val="0"/>
          <w:color w:val="auto"/>
          <w:sz w:val="28"/>
          <w:szCs w:val="28"/>
          <w:highlight w:val="none"/>
          <w:lang w:val="zh-CN"/>
        </w:rPr>
        <w:t>招标文件中</w:t>
      </w:r>
      <w:r>
        <w:rPr>
          <w:rFonts w:hint="eastAsia" w:ascii="宋体" w:hAnsi="宋体"/>
          <w:bCs/>
          <w:snapToGrid w:val="0"/>
          <w:color w:val="auto"/>
          <w:sz w:val="28"/>
          <w:szCs w:val="28"/>
          <w:highlight w:val="none"/>
          <w:lang w:val="zh-CN"/>
        </w:rPr>
        <w:t>规定的合格分或规定名次的投标供应商，并对其“</w:t>
      </w:r>
      <w:r>
        <w:rPr>
          <w:rFonts w:hint="eastAsia" w:ascii="宋体" w:hAnsi="宋体"/>
          <w:bCs/>
          <w:color w:val="auto"/>
          <w:sz w:val="28"/>
          <w:szCs w:val="28"/>
          <w:highlight w:val="none"/>
        </w:rPr>
        <w:t>开标一览表（含价格）</w:t>
      </w:r>
      <w:r>
        <w:rPr>
          <w:rFonts w:hint="eastAsia" w:ascii="宋体" w:hAnsi="宋体"/>
          <w:bCs/>
          <w:snapToGrid w:val="0"/>
          <w:color w:val="auto"/>
          <w:sz w:val="28"/>
          <w:szCs w:val="28"/>
          <w:highlight w:val="none"/>
          <w:lang w:val="zh-CN"/>
        </w:rPr>
        <w:t>”进行开标，公布投标</w:t>
      </w:r>
      <w:r>
        <w:rPr>
          <w:rFonts w:hint="eastAsia" w:ascii="宋体" w:hAnsi="宋体"/>
          <w:bCs/>
          <w:color w:val="auto"/>
          <w:sz w:val="28"/>
          <w:szCs w:val="28"/>
          <w:highlight w:val="none"/>
        </w:rPr>
        <w:t>报价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.3投标供应商对开标过程有异议的，应当在开标</w:t>
      </w:r>
      <w:r>
        <w:rPr>
          <w:rFonts w:hint="eastAsia" w:ascii="宋体" w:hAnsi="宋体"/>
          <w:bCs/>
          <w:snapToGrid w:val="0"/>
          <w:color w:val="auto"/>
          <w:sz w:val="28"/>
          <w:szCs w:val="28"/>
          <w:highlight w:val="none"/>
          <w:lang w:val="zh-CN"/>
        </w:rPr>
        <w:t>现</w:t>
      </w:r>
      <w:r>
        <w:rPr>
          <w:rFonts w:ascii="宋体" w:hAnsi="宋体"/>
          <w:bCs/>
          <w:snapToGrid w:val="0"/>
          <w:color w:val="auto"/>
          <w:sz w:val="28"/>
          <w:szCs w:val="28"/>
          <w:highlight w:val="none"/>
          <w:lang w:val="zh-CN"/>
        </w:rPr>
        <w:t>场提出，采购机构当场答复。采购机构同时</w:t>
      </w:r>
      <w:r>
        <w:rPr>
          <w:rFonts w:hint="eastAsia" w:ascii="宋体" w:hAnsi="宋体"/>
          <w:bCs/>
          <w:snapToGrid w:val="0"/>
          <w:color w:val="auto"/>
          <w:sz w:val="28"/>
          <w:szCs w:val="28"/>
          <w:highlight w:val="none"/>
          <w:lang w:val="zh-CN"/>
        </w:rPr>
        <w:t>作</w:t>
      </w:r>
      <w:r>
        <w:rPr>
          <w:rFonts w:ascii="宋体" w:hAnsi="宋体"/>
          <w:bCs/>
          <w:snapToGrid w:val="0"/>
          <w:color w:val="auto"/>
          <w:sz w:val="28"/>
          <w:szCs w:val="28"/>
          <w:highlight w:val="none"/>
          <w:lang w:val="zh-CN"/>
        </w:rPr>
        <w:t>开标记录，并打印《开标记录表》发放</w:t>
      </w:r>
      <w:r>
        <w:rPr>
          <w:rFonts w:hint="eastAsia" w:ascii="宋体" w:hAnsi="宋体"/>
          <w:bCs/>
          <w:snapToGrid w:val="0"/>
          <w:color w:val="auto"/>
          <w:sz w:val="28"/>
          <w:szCs w:val="28"/>
          <w:highlight w:val="none"/>
          <w:lang w:val="zh-CN"/>
        </w:rPr>
        <w:t>给</w:t>
      </w:r>
      <w:r>
        <w:rPr>
          <w:rFonts w:ascii="宋体" w:hAnsi="宋体"/>
          <w:bCs/>
          <w:snapToGrid w:val="0"/>
          <w:color w:val="auto"/>
          <w:sz w:val="28"/>
          <w:szCs w:val="28"/>
          <w:highlight w:val="none"/>
          <w:lang w:val="zh-CN"/>
        </w:rPr>
        <w:t>所有投标供应商代表进行核对，核对无误后所有投标供应商代表签字确认。</w:t>
      </w:r>
      <w:r>
        <w:rPr>
          <w:rFonts w:hint="eastAsia" w:asciiTheme="minorEastAsia" w:hAnsiTheme="minorEastAsia" w:eastAsiaTheme="minorEastAsia"/>
          <w:bCs/>
          <w:snapToGrid w:val="0"/>
          <w:color w:val="auto"/>
          <w:sz w:val="28"/>
          <w:szCs w:val="28"/>
          <w:highlight w:val="none"/>
          <w:lang w:val="zh-CN"/>
        </w:rPr>
        <w:t>《开标记录表》未经法定代表人（签字或盖章）或授权代表（签字）的，该投标供应商</w:t>
      </w:r>
      <w:r>
        <w:rPr>
          <w:rFonts w:hint="eastAsia" w:ascii="宋体" w:hAnsi="宋体"/>
          <w:bCs/>
          <w:color w:val="auto"/>
          <w:sz w:val="28"/>
          <w:szCs w:val="28"/>
          <w:highlight w:val="none"/>
        </w:rPr>
        <w:t>投标视为无效</w:t>
      </w:r>
      <w:r>
        <w:rPr>
          <w:rFonts w:hint="eastAsia" w:asciiTheme="minorEastAsia" w:hAnsiTheme="minorEastAsia" w:eastAsiaTheme="minorEastAsia"/>
          <w:bCs/>
          <w:snapToGrid w:val="0"/>
          <w:color w:val="auto"/>
          <w:sz w:val="28"/>
          <w:szCs w:val="28"/>
          <w:highlight w:val="none"/>
          <w:lang w:val="zh-CN"/>
        </w:rPr>
        <w:t>投标，因特殊原因未允许进入开标现场的除外。</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投标供应商或通过资格性、符合性审查的投标供应商只有</w:t>
      </w:r>
      <w:r>
        <w:rPr>
          <w:rFonts w:ascii="宋体" w:hAnsi="宋体"/>
          <w:bCs/>
          <w:snapToGrid w:val="0"/>
          <w:color w:val="auto"/>
          <w:sz w:val="28"/>
          <w:szCs w:val="28"/>
          <w:highlight w:val="none"/>
          <w:lang w:val="zh-CN"/>
        </w:rPr>
        <w:t>2家且预算金额在500万元以下项目，或重新组织</w:t>
      </w:r>
      <w:r>
        <w:rPr>
          <w:rFonts w:hint="eastAsia" w:ascii="宋体" w:hAnsi="宋体"/>
          <w:bCs/>
          <w:snapToGrid w:val="0"/>
          <w:color w:val="auto"/>
          <w:sz w:val="28"/>
          <w:szCs w:val="28"/>
          <w:highlight w:val="none"/>
          <w:lang w:val="zh-CN"/>
        </w:rPr>
        <w:t>采购仍只有</w:t>
      </w:r>
      <w:r>
        <w:rPr>
          <w:rFonts w:ascii="宋体" w:hAnsi="宋体"/>
          <w:bCs/>
          <w:snapToGrid w:val="0"/>
          <w:color w:val="auto"/>
          <w:sz w:val="28"/>
          <w:szCs w:val="28"/>
          <w:highlight w:val="none"/>
          <w:lang w:val="zh-CN"/>
        </w:rPr>
        <w:t>2家投标供应商响应的项目，采购机构应当组织评审委员会</w:t>
      </w:r>
      <w:r>
        <w:rPr>
          <w:rFonts w:hint="eastAsia" w:ascii="宋体" w:hAnsi="宋体"/>
          <w:bCs/>
          <w:snapToGrid w:val="0"/>
          <w:color w:val="auto"/>
          <w:sz w:val="28"/>
          <w:szCs w:val="28"/>
          <w:highlight w:val="none"/>
        </w:rPr>
        <w:t>成员</w:t>
      </w:r>
      <w:r>
        <w:rPr>
          <w:rFonts w:ascii="宋体" w:hAnsi="宋体"/>
          <w:bCs/>
          <w:snapToGrid w:val="0"/>
          <w:color w:val="auto"/>
          <w:sz w:val="28"/>
          <w:szCs w:val="28"/>
          <w:highlight w:val="none"/>
          <w:lang w:val="zh-CN"/>
        </w:rPr>
        <w:t>对招标文件进行论证，并根据论证情况按照以下方式处理：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评审委员会认为</w:t>
      </w:r>
      <w:r>
        <w:rPr>
          <w:rFonts w:ascii="宋体" w:hAnsi="宋体"/>
          <w:bCs/>
          <w:snapToGrid w:val="0"/>
          <w:color w:val="auto"/>
          <w:sz w:val="28"/>
          <w:szCs w:val="28"/>
          <w:highlight w:val="none"/>
          <w:lang w:val="zh-CN"/>
        </w:rPr>
        <w:t>招标文件</w:t>
      </w:r>
      <w:bookmarkStart w:id="148" w:name="_Hlk117260042"/>
      <w:r>
        <w:rPr>
          <w:rFonts w:hint="eastAsia" w:ascii="宋体" w:hAnsi="宋体"/>
          <w:bCs/>
          <w:snapToGrid w:val="0"/>
          <w:color w:val="auto"/>
          <w:sz w:val="28"/>
          <w:szCs w:val="28"/>
          <w:highlight w:val="none"/>
          <w:lang w:val="zh-CN"/>
        </w:rPr>
        <w:t>无倾向性</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排他性条款，供应商选择程序合规的，采购机构可以重新招标，</w:t>
      </w:r>
      <w:bookmarkEnd w:id="148"/>
      <w:bookmarkStart w:id="149" w:name="_Hlk117260077"/>
      <w:r>
        <w:rPr>
          <w:rFonts w:hint="eastAsia" w:ascii="宋体" w:hAnsi="宋体"/>
          <w:bCs/>
          <w:snapToGrid w:val="0"/>
          <w:color w:val="auto"/>
          <w:sz w:val="28"/>
          <w:szCs w:val="28"/>
          <w:highlight w:val="none"/>
          <w:lang w:val="zh-CN"/>
        </w:rPr>
        <w:t>也可以由采购机构报上级采购管理部门批准，并经采购单位同意后，</w:t>
      </w:r>
      <w:bookmarkEnd w:id="149"/>
      <w:r>
        <w:rPr>
          <w:rFonts w:ascii="宋体" w:hAnsi="宋体"/>
          <w:bCs/>
          <w:snapToGrid w:val="0"/>
          <w:color w:val="auto"/>
          <w:sz w:val="28"/>
          <w:szCs w:val="28"/>
          <w:highlight w:val="none"/>
          <w:lang w:val="zh-CN"/>
        </w:rPr>
        <w:t>在不变更投标供应商资格条件和采购需求的前提下与这两家供应商进行竞争性谈判</w:t>
      </w:r>
      <w:r>
        <w:rPr>
          <w:rFonts w:hint="eastAsia" w:ascii="宋体" w:hAnsi="宋体"/>
          <w:bCs/>
          <w:snapToGrid w:val="0"/>
          <w:color w:val="auto"/>
          <w:sz w:val="28"/>
          <w:szCs w:val="28"/>
          <w:highlight w:val="none"/>
          <w:lang w:val="zh-CN"/>
        </w:rPr>
        <w:t>。采购机构应当在评审报告中注明采购方式变更及后续评审情况。</w:t>
      </w:r>
      <w:r>
        <w:rPr>
          <w:rFonts w:hint="eastAsia" w:ascii="宋体" w:hAnsi="宋体"/>
          <w:bCs/>
          <w:color w:val="auto"/>
          <w:sz w:val="28"/>
          <w:szCs w:val="28"/>
          <w:highlight w:val="none"/>
        </w:rPr>
        <w:t>评审委员会或采购机构认为存在价格虚高风险的，可以提出审价方式定价结算。</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评审委员会认为</w:t>
      </w:r>
      <w:r>
        <w:rPr>
          <w:rFonts w:ascii="宋体" w:hAnsi="宋体"/>
          <w:bCs/>
          <w:snapToGrid w:val="0"/>
          <w:color w:val="auto"/>
          <w:sz w:val="28"/>
          <w:szCs w:val="28"/>
          <w:highlight w:val="none"/>
          <w:lang w:val="zh-CN"/>
        </w:rPr>
        <w:t>招标文件存在不合理条款或招标程序不符合规定的，采购机构改正后依法重新招标</w:t>
      </w:r>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0" w:name="_Toc121471676"/>
      <w:bookmarkStart w:id="151" w:name="_Toc10455"/>
      <w:bookmarkStart w:id="152" w:name="_Toc9267"/>
      <w:bookmarkStart w:id="153" w:name="_Toc10685"/>
      <w:r>
        <w:rPr>
          <w:rFonts w:ascii="黑体" w:hAnsi="黑体"/>
          <w:b w:val="0"/>
          <w:color w:val="auto"/>
          <w:highlight w:val="none"/>
        </w:rPr>
        <w:t>2</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评审原则与方法</w:t>
      </w:r>
      <w:bookmarkEnd w:id="150"/>
      <w:bookmarkEnd w:id="151"/>
      <w:bookmarkEnd w:id="152"/>
      <w:bookmarkEnd w:id="15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.1评审原则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1）评审活动遵循公平、公正、科学和择优的原则。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）严格依据招标文件</w:t>
      </w:r>
      <w:r>
        <w:rPr>
          <w:rFonts w:hint="eastAsia" w:ascii="宋体" w:hAnsi="宋体"/>
          <w:bCs/>
          <w:color w:val="auto"/>
          <w:sz w:val="28"/>
          <w:szCs w:val="28"/>
          <w:highlight w:val="none"/>
        </w:rPr>
        <w:t>规定</w:t>
      </w:r>
      <w:r>
        <w:rPr>
          <w:rFonts w:hint="eastAsia" w:ascii="宋体" w:hAnsi="宋体"/>
          <w:bCs/>
          <w:snapToGrid w:val="0"/>
          <w:color w:val="auto"/>
          <w:sz w:val="28"/>
          <w:szCs w:val="28"/>
          <w:highlight w:val="none"/>
          <w:lang w:val="zh-CN"/>
        </w:rPr>
        <w:t>的评审方法、程序和标准评审。不得以投票表决等形式修改招标文件规定的评审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和标准；招标文件没有规定的评审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和标准，不得作为评审依据。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3）对所有投标</w:t>
      </w:r>
      <w:r>
        <w:rPr>
          <w:rFonts w:hint="eastAsia" w:ascii="宋体" w:hAnsi="宋体"/>
          <w:bCs/>
          <w:color w:val="auto"/>
          <w:sz w:val="28"/>
          <w:szCs w:val="28"/>
          <w:highlight w:val="none"/>
        </w:rPr>
        <w:t>文件的评审依据和评审尺度保持一致</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对</w:t>
      </w:r>
      <w:r>
        <w:rPr>
          <w:rFonts w:ascii="宋体" w:hAnsi="宋体"/>
          <w:bCs/>
          <w:snapToGrid w:val="0"/>
          <w:color w:val="auto"/>
          <w:sz w:val="28"/>
          <w:szCs w:val="28"/>
          <w:highlight w:val="none"/>
          <w:lang w:val="zh-CN"/>
        </w:rPr>
        <w:t>招标文件和投标文件</w:t>
      </w:r>
      <w:r>
        <w:rPr>
          <w:rFonts w:hint="eastAsia" w:ascii="宋体" w:hAnsi="宋体"/>
          <w:bCs/>
          <w:snapToGrid w:val="0"/>
          <w:color w:val="auto"/>
          <w:sz w:val="28"/>
          <w:szCs w:val="28"/>
          <w:highlight w:val="none"/>
          <w:lang w:val="zh-CN"/>
        </w:rPr>
        <w:t>的</w:t>
      </w:r>
      <w:r>
        <w:rPr>
          <w:rFonts w:ascii="宋体" w:hAnsi="宋体"/>
          <w:bCs/>
          <w:snapToGrid w:val="0"/>
          <w:color w:val="auto"/>
          <w:sz w:val="28"/>
          <w:szCs w:val="28"/>
          <w:highlight w:val="none"/>
          <w:lang w:val="zh-CN"/>
        </w:rPr>
        <w:t>解释澄清，在不改变文件原义的前提下，应当以有利于投标供应商为原则。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.2评审方法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（1）综合评分法，是指投标文件满足招标文件资格性和符合性要求，将按照评审标准综合评审得分最高的投标供应商，作为预中标供应商的评审方法。</w:t>
      </w:r>
      <w:r>
        <w:rPr>
          <w:rFonts w:hint="eastAsia" w:ascii="宋体" w:hAnsi="宋体"/>
          <w:bCs/>
          <w:color w:val="auto"/>
          <w:sz w:val="28"/>
          <w:szCs w:val="28"/>
          <w:highlight w:val="none"/>
        </w:rPr>
        <w:t>采用百分制评分。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autoSpaceDE w:val="0"/>
        <w:autoSpaceDN w:val="0"/>
        <w:adjustRightInd w:val="0"/>
        <w:snapToGrid w:val="0"/>
        <w:spacing w:line="560" w:lineRule="exact"/>
        <w:ind w:firstLine="560" w:firstLineChars="200"/>
        <w:rPr>
          <w:rFonts w:ascii="宋体" w:hAnsi="宋体"/>
          <w:color w:val="auto"/>
          <w:sz w:val="28"/>
          <w:szCs w:val="28"/>
          <w:highlight w:val="none"/>
          <w:lang w:val="zh-CN"/>
        </w:rPr>
      </w:pPr>
      <w:r>
        <w:rPr>
          <w:rFonts w:hint="eastAsia" w:ascii="宋体" w:hAnsi="宋体"/>
          <w:bCs/>
          <w:snapToGrid w:val="0"/>
          <w:color w:val="auto"/>
          <w:sz w:val="28"/>
          <w:szCs w:val="28"/>
          <w:highlight w:val="none"/>
          <w:lang w:val="zh-CN"/>
        </w:rPr>
        <w:t>（3）经评审的最低价法，是指投标文件满足招标文件资格性和符合性要求，将报价最低的投标供应商，作为预中标供应商的评审方法。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4" w:name="_Toc5712"/>
      <w:bookmarkStart w:id="155" w:name="_Toc15956"/>
      <w:bookmarkStart w:id="156" w:name="_Toc121471677"/>
      <w:bookmarkStart w:id="157" w:name="_Toc19387"/>
      <w:r>
        <w:rPr>
          <w:rFonts w:ascii="黑体" w:hAnsi="黑体"/>
          <w:b w:val="0"/>
          <w:color w:val="auto"/>
          <w:highlight w:val="none"/>
        </w:rPr>
        <w:t>2</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评审标准</w:t>
      </w:r>
      <w:bookmarkEnd w:id="154"/>
      <w:bookmarkEnd w:id="155"/>
      <w:bookmarkEnd w:id="156"/>
      <w:bookmarkEnd w:id="15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资格性审查标准，见【投标供应商须知前附表】。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w:t>
      </w:r>
      <w:bookmarkStart w:id="158" w:name="_Hlk112422244"/>
      <w:r>
        <w:rPr>
          <w:rFonts w:hint="eastAsia" w:ascii="宋体" w:hAnsi="宋体"/>
          <w:bCs/>
          <w:snapToGrid w:val="0"/>
          <w:color w:val="auto"/>
          <w:sz w:val="28"/>
          <w:szCs w:val="28"/>
          <w:highlight w:val="none"/>
          <w:lang w:val="zh-CN"/>
        </w:rPr>
        <w:t>符合性审查标准</w:t>
      </w:r>
      <w:bookmarkEnd w:id="158"/>
      <w:r>
        <w:rPr>
          <w:rFonts w:hint="eastAsia" w:ascii="宋体" w:hAnsi="宋体"/>
          <w:bCs/>
          <w:snapToGrid w:val="0"/>
          <w:color w:val="auto"/>
          <w:sz w:val="28"/>
          <w:szCs w:val="28"/>
          <w:highlight w:val="none"/>
          <w:lang w:val="zh-CN"/>
        </w:rPr>
        <w:t>，见【投标供应商须知前附表】。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采用综合评分法</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质量优先法评审：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1）商务评审标准，见【</w:t>
      </w:r>
      <w:r>
        <w:rPr>
          <w:rFonts w:hint="eastAsia" w:ascii="宋体" w:hAnsi="宋体"/>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2）技术评审标准，见【</w:t>
      </w:r>
      <w:r>
        <w:rPr>
          <w:rFonts w:hint="eastAsia" w:ascii="宋体" w:hAnsi="宋体"/>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3）价格评审标准，见</w:t>
      </w:r>
      <w:r>
        <w:rPr>
          <w:rFonts w:hint="eastAsia" w:ascii="宋体" w:hAnsi="宋体"/>
          <w:bCs/>
          <w:snapToGrid w:val="0"/>
          <w:color w:val="auto"/>
          <w:sz w:val="28"/>
          <w:szCs w:val="28"/>
          <w:highlight w:val="none"/>
          <w:lang w:val="zh-CN"/>
        </w:rPr>
        <w:t>【投标供应商须知前附表】。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9" w:name="_Toc11013"/>
      <w:bookmarkStart w:id="160" w:name="_Toc11058"/>
      <w:bookmarkStart w:id="161" w:name="_Toc6894"/>
      <w:bookmarkStart w:id="162" w:name="_Toc121471678"/>
      <w:r>
        <w:rPr>
          <w:rFonts w:ascii="黑体" w:hAnsi="黑体"/>
          <w:b w:val="0"/>
          <w:color w:val="auto"/>
          <w:highlight w:val="none"/>
        </w:rPr>
        <w:t>2</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评审程序</w:t>
      </w:r>
      <w:bookmarkEnd w:id="159"/>
      <w:bookmarkEnd w:id="160"/>
      <w:bookmarkEnd w:id="161"/>
      <w:bookmarkEnd w:id="162"/>
    </w:p>
    <w:p>
      <w:pPr>
        <w:autoSpaceDE w:val="0"/>
        <w:autoSpaceDN w:val="0"/>
        <w:adjustRightInd w:val="0"/>
        <w:snapToGrid w:val="0"/>
        <w:spacing w:line="560" w:lineRule="exact"/>
        <w:ind w:firstLine="560" w:firstLineChars="200"/>
        <w:rPr>
          <w:rFonts w:hint="eastAsia"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评审按照召开评审预备会、审阅招标文件、资格性审查</w:t>
      </w:r>
      <w:r>
        <w:rPr>
          <w:rFonts w:hint="eastAsia" w:ascii="宋体" w:hAnsi="宋体"/>
          <w:bCs/>
          <w:snapToGrid w:val="0"/>
          <w:color w:val="auto"/>
          <w:sz w:val="28"/>
          <w:szCs w:val="28"/>
          <w:highlight w:val="none"/>
          <w:lang w:val="en-US" w:eastAsia="zh-CN"/>
        </w:rPr>
        <w:t>、</w:t>
      </w:r>
      <w:r>
        <w:rPr>
          <w:rFonts w:hint="eastAsia" w:ascii="宋体" w:hAnsi="宋体"/>
          <w:bCs/>
          <w:snapToGrid w:val="0"/>
          <w:color w:val="auto"/>
          <w:sz w:val="28"/>
          <w:szCs w:val="28"/>
          <w:highlight w:val="none"/>
          <w:lang w:val="zh-CN"/>
        </w:rPr>
        <w:t>符合性审查、商务技术评审、价格评审、复核评审结果、出具评审报告、宣布评审结果、公示评审结果的基本程序组织实施。</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3" w:name="_Toc11814"/>
      <w:bookmarkStart w:id="164" w:name="_Toc121471680"/>
      <w:bookmarkStart w:id="165" w:name="_Toc12234"/>
      <w:bookmarkStart w:id="166" w:name="_Toc14471"/>
      <w:r>
        <w:rPr>
          <w:rFonts w:ascii="黑体" w:hAnsi="黑体"/>
          <w:b w:val="0"/>
          <w:color w:val="auto"/>
          <w:highlight w:val="none"/>
        </w:rPr>
        <w:t>2</w:t>
      </w:r>
      <w:r>
        <w:rPr>
          <w:rFonts w:hint="eastAsia" w:ascii="黑体" w:hAnsi="黑体"/>
          <w:b w:val="0"/>
          <w:color w:val="auto"/>
          <w:highlight w:val="none"/>
          <w:lang w:val="en-US" w:eastAsia="zh-CN"/>
        </w:rPr>
        <w:t>4</w:t>
      </w:r>
      <w:r>
        <w:rPr>
          <w:rFonts w:ascii="黑体" w:hAnsi="黑体"/>
          <w:b w:val="0"/>
          <w:color w:val="auto"/>
          <w:highlight w:val="none"/>
        </w:rPr>
        <w:t>.</w:t>
      </w:r>
      <w:r>
        <w:rPr>
          <w:rFonts w:hint="eastAsia" w:ascii="黑体" w:hAnsi="黑体"/>
          <w:b w:val="0"/>
          <w:color w:val="auto"/>
          <w:highlight w:val="none"/>
        </w:rPr>
        <w:t>召开评审预备会</w:t>
      </w:r>
      <w:bookmarkEnd w:id="163"/>
      <w:bookmarkEnd w:id="164"/>
      <w:bookmarkEnd w:id="165"/>
      <w:bookmarkEnd w:id="166"/>
    </w:p>
    <w:p>
      <w:pPr>
        <w:autoSpaceDE w:val="0"/>
        <w:autoSpaceDN w:val="0"/>
        <w:adjustRightInd w:val="0"/>
        <w:snapToGrid w:val="0"/>
        <w:spacing w:line="560" w:lineRule="exact"/>
        <w:ind w:firstLine="560" w:firstLineChars="200"/>
        <w:rPr>
          <w:rFonts w:hint="eastAsia"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4</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采购机构</w:t>
      </w:r>
      <w:r>
        <w:rPr>
          <w:rFonts w:hint="eastAsia" w:ascii="宋体" w:hAnsi="宋体"/>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采购机构重点说明评审标准和评审程序，并介绍招标文件主要内容和质疑答复情况。</w:t>
      </w:r>
      <w:r>
        <w:rPr>
          <w:rFonts w:hint="eastAsia" w:ascii="宋体" w:hAnsi="宋体"/>
          <w:bCs/>
          <w:snapToGrid w:val="0"/>
          <w:color w:val="auto"/>
          <w:sz w:val="28"/>
          <w:szCs w:val="28"/>
          <w:highlight w:val="none"/>
          <w:lang w:val="zh-CN"/>
        </w:rPr>
        <w:t>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5</w:t>
      </w:r>
      <w:r>
        <w:rPr>
          <w:rFonts w:ascii="黑体" w:hAnsi="黑体"/>
          <w:b w:val="0"/>
          <w:color w:val="auto"/>
          <w:highlight w:val="none"/>
        </w:rPr>
        <w:t>.</w:t>
      </w:r>
      <w:r>
        <w:rPr>
          <w:rFonts w:hint="eastAsia" w:ascii="黑体" w:hAnsi="黑体"/>
          <w:b w:val="0"/>
          <w:color w:val="auto"/>
          <w:highlight w:val="none"/>
        </w:rPr>
        <w:t>审阅招标文件</w:t>
      </w:r>
    </w:p>
    <w:p>
      <w:pPr>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rFonts w:ascii="宋体" w:hAnsi="宋体"/>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.2</w:t>
      </w:r>
      <w:r>
        <w:rPr>
          <w:rFonts w:ascii="宋体" w:hAnsi="宋体"/>
          <w:bCs/>
          <w:color w:val="auto"/>
          <w:sz w:val="28"/>
          <w:szCs w:val="28"/>
          <w:highlight w:val="none"/>
        </w:rPr>
        <w:t>评审委员会成员对</w:t>
      </w:r>
      <w:r>
        <w:rPr>
          <w:rFonts w:hint="eastAsia" w:ascii="宋体" w:hAnsi="宋体"/>
          <w:bCs/>
          <w:color w:val="auto"/>
          <w:sz w:val="28"/>
          <w:szCs w:val="28"/>
          <w:highlight w:val="none"/>
        </w:rPr>
        <w:t>招标文件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7" w:name="_Toc20382"/>
      <w:bookmarkStart w:id="168" w:name="_Toc15847"/>
      <w:bookmarkStart w:id="169" w:name="_Toc31228"/>
      <w:bookmarkStart w:id="170" w:name="_Toc121471679"/>
      <w:r>
        <w:rPr>
          <w:rFonts w:ascii="黑体" w:hAnsi="黑体"/>
          <w:b w:val="0"/>
          <w:color w:val="auto"/>
          <w:highlight w:val="none"/>
        </w:rPr>
        <w:t>2</w:t>
      </w:r>
      <w:r>
        <w:rPr>
          <w:rFonts w:hint="eastAsia" w:ascii="黑体" w:hAnsi="黑体"/>
          <w:b w:val="0"/>
          <w:color w:val="auto"/>
          <w:highlight w:val="none"/>
          <w:lang w:val="en-US" w:eastAsia="zh-CN"/>
        </w:rPr>
        <w:t>6</w:t>
      </w:r>
      <w:r>
        <w:rPr>
          <w:rFonts w:ascii="黑体" w:hAnsi="黑体"/>
          <w:b w:val="0"/>
          <w:color w:val="auto"/>
          <w:highlight w:val="none"/>
        </w:rPr>
        <w:t>.</w:t>
      </w:r>
      <w:r>
        <w:rPr>
          <w:rFonts w:hint="eastAsia" w:ascii="黑体" w:hAnsi="黑体"/>
          <w:b w:val="0"/>
          <w:color w:val="auto"/>
          <w:highlight w:val="none"/>
        </w:rPr>
        <w:t>资格性审查</w:t>
      </w:r>
      <w:bookmarkEnd w:id="167"/>
      <w:bookmarkEnd w:id="168"/>
      <w:bookmarkEnd w:id="169"/>
      <w:bookmarkEnd w:id="17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6</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开标后，评审委员会依据招标文件规定的资格性审查标准，对投标供应商的资格进行审查。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）通过资格性审查的投标供应商进入后续评审；未通过资格性审查的投标供应商不得进入后续评审。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）评审委员会对资格性审查结果签字确认。</w:t>
      </w:r>
    </w:p>
    <w:p>
      <w:pPr>
        <w:autoSpaceDE w:val="0"/>
        <w:autoSpaceDN w:val="0"/>
        <w:adjustRightInd w:val="0"/>
        <w:snapToGrid w:val="0"/>
        <w:spacing w:line="560" w:lineRule="exact"/>
        <w:ind w:firstLine="560" w:firstLineChars="200"/>
        <w:rPr>
          <w:rFonts w:hint="eastAsia"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评审委员会应当当场向未通过资格性审查的投标供应商告知审查结果和未通过原因，投标供应商签字确认；拒绝签字确认的，不影响资格性审查结果，评审委员会如实记录并存入采购档案。投标供应商有疑义的，应当当场解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6</w:t>
      </w:r>
      <w:r>
        <w:rPr>
          <w:rFonts w:ascii="宋体" w:hAnsi="宋体"/>
          <w:bCs/>
          <w:snapToGrid w:val="0"/>
          <w:color w:val="auto"/>
          <w:sz w:val="28"/>
          <w:szCs w:val="28"/>
          <w:highlight w:val="none"/>
          <w:lang w:val="zh-CN"/>
        </w:rPr>
        <w:t>.2招标过程中，供应商发生合并、分立</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破产等重大变化时，应当及时书面告知采购机构。</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71" w:name="_Toc121471681"/>
      <w:bookmarkStart w:id="172" w:name="_Toc17026"/>
      <w:bookmarkStart w:id="173" w:name="_Toc28990"/>
      <w:bookmarkStart w:id="174" w:name="_Toc15229"/>
      <w:r>
        <w:rPr>
          <w:rFonts w:ascii="黑体" w:hAnsi="黑体"/>
          <w:b w:val="0"/>
          <w:color w:val="auto"/>
          <w:highlight w:val="none"/>
        </w:rPr>
        <w:t>27.</w:t>
      </w:r>
      <w:r>
        <w:rPr>
          <w:rFonts w:hint="eastAsia" w:ascii="黑体" w:hAnsi="黑体"/>
          <w:b w:val="0"/>
          <w:color w:val="auto"/>
          <w:highlight w:val="none"/>
        </w:rPr>
        <w:t>符合性审查</w:t>
      </w:r>
      <w:bookmarkEnd w:id="171"/>
      <w:bookmarkEnd w:id="172"/>
      <w:bookmarkEnd w:id="173"/>
      <w:bookmarkEnd w:id="17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27.1</w:t>
      </w:r>
      <w:r>
        <w:rPr>
          <w:rFonts w:hint="eastAsia" w:ascii="宋体" w:hAnsi="宋体"/>
          <w:bCs/>
          <w:snapToGrid w:val="0"/>
          <w:color w:val="auto"/>
          <w:sz w:val="28"/>
          <w:szCs w:val="28"/>
          <w:highlight w:val="none"/>
          <w:lang w:val="zh-CN"/>
        </w:rPr>
        <w:t>投标文件的偏离与实质性响应：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）招标文件中用“</w:t>
      </w:r>
      <w:r>
        <w:rPr>
          <w:rFonts w:hint="eastAsia" w:ascii="宋体" w:hAnsi="宋体" w:eastAsia="宋体" w:cs="宋体"/>
          <w:bCs/>
          <w:snapToGrid w:val="0"/>
          <w:color w:val="auto"/>
          <w:sz w:val="28"/>
          <w:szCs w:val="28"/>
          <w:highlight w:val="none"/>
          <w:lang w:val="zh-CN"/>
        </w:rPr>
        <w:t>*</w:t>
      </w:r>
      <w:r>
        <w:rPr>
          <w:rFonts w:ascii="宋体" w:hAnsi="宋体"/>
          <w:bCs/>
          <w:snapToGrid w:val="0"/>
          <w:color w:val="auto"/>
          <w:sz w:val="28"/>
          <w:szCs w:val="28"/>
          <w:highlight w:val="none"/>
          <w:lang w:val="zh-CN"/>
        </w:rPr>
        <w:t>”号标明的条款</w:t>
      </w:r>
      <w:r>
        <w:rPr>
          <w:rFonts w:hint="eastAsia" w:ascii="宋体" w:hAnsi="宋体"/>
          <w:bCs/>
          <w:color w:val="auto"/>
          <w:sz w:val="28"/>
          <w:szCs w:val="28"/>
          <w:highlight w:val="none"/>
        </w:rPr>
        <w:t>不允许负偏离，</w:t>
      </w:r>
      <w:r>
        <w:rPr>
          <w:rFonts w:hint="eastAsia" w:asciiTheme="minorEastAsia" w:hAnsiTheme="minorEastAsia" w:eastAsiaTheme="minorEastAsia"/>
          <w:bCs/>
          <w:color w:val="auto"/>
          <w:sz w:val="28"/>
          <w:szCs w:val="28"/>
          <w:highlight w:val="none"/>
        </w:rPr>
        <w:t>投标供应商</w:t>
      </w:r>
      <w:r>
        <w:rPr>
          <w:rFonts w:hint="eastAsia" w:ascii="宋体" w:hAnsi="宋体"/>
          <w:bCs/>
          <w:color w:val="auto"/>
          <w:sz w:val="28"/>
          <w:szCs w:val="28"/>
          <w:highlight w:val="none"/>
        </w:rPr>
        <w:t>应当作出实质性响应，未作实质性响应的</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）投标文件</w:t>
      </w:r>
      <w:r>
        <w:rPr>
          <w:rFonts w:hint="eastAsia" w:ascii="宋体" w:hAnsi="宋体"/>
          <w:bCs/>
          <w:color w:val="auto"/>
          <w:sz w:val="28"/>
          <w:szCs w:val="28"/>
          <w:highlight w:val="none"/>
        </w:rPr>
        <w:t>中非</w:t>
      </w:r>
      <w:r>
        <w:rPr>
          <w:rFonts w:ascii="宋体" w:hAnsi="宋体"/>
          <w:bCs/>
          <w:color w:val="auto"/>
          <w:sz w:val="28"/>
          <w:szCs w:val="28"/>
          <w:highlight w:val="none"/>
        </w:rPr>
        <w:t>“</w:t>
      </w:r>
      <w:r>
        <w:rPr>
          <w:rFonts w:hint="eastAsia" w:ascii="宋体" w:hAnsi="宋体"/>
          <w:bCs/>
          <w:color w:val="auto"/>
          <w:sz w:val="28"/>
          <w:szCs w:val="28"/>
          <w:highlight w:val="none"/>
          <w:lang w:eastAsia="zh-CN"/>
        </w:rPr>
        <w:t>*</w:t>
      </w:r>
      <w:r>
        <w:rPr>
          <w:rFonts w:ascii="宋体" w:hAnsi="宋体"/>
          <w:bCs/>
          <w:color w:val="auto"/>
          <w:sz w:val="28"/>
          <w:szCs w:val="28"/>
          <w:highlight w:val="none"/>
        </w:rPr>
        <w:t>”号标明的条款</w:t>
      </w:r>
      <w:r>
        <w:rPr>
          <w:rFonts w:hint="eastAsia" w:ascii="宋体" w:hAnsi="宋体"/>
          <w:bCs/>
          <w:color w:val="auto"/>
          <w:sz w:val="28"/>
          <w:szCs w:val="28"/>
          <w:highlight w:val="none"/>
        </w:rPr>
        <w:t>负</w:t>
      </w:r>
      <w:r>
        <w:rPr>
          <w:rFonts w:ascii="宋体" w:hAnsi="宋体"/>
          <w:bCs/>
          <w:color w:val="auto"/>
          <w:sz w:val="28"/>
          <w:szCs w:val="28"/>
          <w:highlight w:val="none"/>
        </w:rPr>
        <w:t>偏离的</w:t>
      </w:r>
      <w:r>
        <w:rPr>
          <w:rFonts w:hint="eastAsia" w:ascii="宋体" w:hAnsi="宋体"/>
          <w:bCs/>
          <w:color w:val="auto"/>
          <w:sz w:val="28"/>
          <w:szCs w:val="28"/>
          <w:highlight w:val="none"/>
        </w:rPr>
        <w:t>项数</w:t>
      </w:r>
      <w:r>
        <w:rPr>
          <w:rFonts w:ascii="宋体" w:hAnsi="宋体"/>
          <w:bCs/>
          <w:color w:val="auto"/>
          <w:sz w:val="28"/>
          <w:szCs w:val="28"/>
          <w:highlight w:val="none"/>
        </w:rPr>
        <w:t>应当符合</w:t>
      </w:r>
      <w:r>
        <w:rPr>
          <w:rFonts w:hint="eastAsia" w:ascii="宋体" w:hAnsi="宋体"/>
          <w:bCs/>
          <w:snapToGrid w:val="0"/>
          <w:color w:val="auto"/>
          <w:sz w:val="28"/>
          <w:szCs w:val="28"/>
          <w:highlight w:val="none"/>
          <w:lang w:val="zh-CN"/>
        </w:rPr>
        <w:t>【投标供应商须知前附表】明确的要求，否则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宋体" w:hAnsi="宋体"/>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27.2</w:t>
      </w:r>
      <w:r>
        <w:rPr>
          <w:rFonts w:hint="eastAsia" w:ascii="宋体" w:hAnsi="宋体"/>
          <w:bCs/>
          <w:snapToGrid w:val="0"/>
          <w:color w:val="auto"/>
          <w:sz w:val="28"/>
          <w:szCs w:val="28"/>
          <w:highlight w:val="none"/>
          <w:lang w:val="zh-CN"/>
        </w:rPr>
        <w:t>采购机构资格性审查结束后，评审委员会应当依据招标文件规定的符合性审查标准，对</w:t>
      </w:r>
      <w:r>
        <w:rPr>
          <w:rFonts w:hint="eastAsia" w:asciiTheme="minorEastAsia" w:hAnsiTheme="minorEastAsia" w:eastAsiaTheme="minorEastAsia"/>
          <w:bCs/>
          <w:snapToGrid w:val="0"/>
          <w:color w:val="auto"/>
          <w:sz w:val="28"/>
          <w:szCs w:val="28"/>
          <w:highlight w:val="none"/>
          <w:lang w:val="zh-CN"/>
        </w:rPr>
        <w:t>资格</w:t>
      </w:r>
      <w:r>
        <w:rPr>
          <w:rFonts w:hint="eastAsia" w:ascii="宋体" w:hAnsi="宋体"/>
          <w:bCs/>
          <w:color w:val="auto"/>
          <w:sz w:val="28"/>
          <w:szCs w:val="28"/>
          <w:highlight w:val="none"/>
        </w:rPr>
        <w:t>性审查合格</w:t>
      </w:r>
      <w:r>
        <w:rPr>
          <w:rFonts w:hint="eastAsia" w:ascii="宋体" w:hAnsi="宋体"/>
          <w:bCs/>
          <w:snapToGrid w:val="0"/>
          <w:color w:val="auto"/>
          <w:sz w:val="28"/>
          <w:szCs w:val="28"/>
          <w:highlight w:val="none"/>
          <w:lang w:val="zh-CN"/>
        </w:rPr>
        <w:t>的投标供应商的投标文件进行符合性审查，确定其是否满足招标文件的实质性要求。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1）不得以招标文件未明确的内容</w:t>
      </w:r>
      <w:r>
        <w:rPr>
          <w:rFonts w:hint="eastAsia" w:ascii="宋体" w:hAnsi="宋体"/>
          <w:bCs/>
          <w:snapToGrid w:val="0"/>
          <w:color w:val="auto"/>
          <w:sz w:val="28"/>
          <w:szCs w:val="28"/>
          <w:highlight w:val="none"/>
          <w:lang w:val="zh-CN"/>
        </w:rPr>
        <w:t>和</w:t>
      </w:r>
      <w:r>
        <w:rPr>
          <w:rFonts w:ascii="宋体" w:hAnsi="宋体"/>
          <w:bCs/>
          <w:snapToGrid w:val="0"/>
          <w:color w:val="auto"/>
          <w:sz w:val="28"/>
          <w:szCs w:val="28"/>
          <w:highlight w:val="none"/>
          <w:lang w:val="zh-CN"/>
        </w:rPr>
        <w:t>非实质性条款判定</w:t>
      </w:r>
      <w:r>
        <w:rPr>
          <w:rFonts w:hint="eastAsia" w:ascii="宋体" w:hAnsi="宋体"/>
          <w:bCs/>
          <w:snapToGrid w:val="0"/>
          <w:color w:val="auto"/>
          <w:sz w:val="28"/>
          <w:szCs w:val="28"/>
          <w:highlight w:val="none"/>
          <w:lang w:val="zh-CN"/>
        </w:rPr>
        <w:t>投标供应商</w:t>
      </w:r>
      <w:r>
        <w:rPr>
          <w:rFonts w:ascii="宋体" w:hAnsi="宋体"/>
          <w:bCs/>
          <w:snapToGrid w:val="0"/>
          <w:color w:val="auto"/>
          <w:sz w:val="28"/>
          <w:szCs w:val="28"/>
          <w:highlight w:val="none"/>
          <w:lang w:val="zh-CN"/>
        </w:rPr>
        <w:t>投标无效</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75" w:name="_Toc687"/>
      <w:bookmarkStart w:id="176" w:name="_Toc12589"/>
      <w:bookmarkStart w:id="177" w:name="_Toc21212"/>
      <w:bookmarkStart w:id="178" w:name="_Toc11679"/>
      <w:bookmarkStart w:id="179" w:name="_Toc121216113"/>
      <w:bookmarkStart w:id="180" w:name="_Toc29630"/>
      <w:bookmarkStart w:id="181" w:name="_Toc14120"/>
      <w:bookmarkStart w:id="182" w:name="_Toc4782"/>
      <w:bookmarkStart w:id="183" w:name="_Toc8094"/>
      <w:bookmarkStart w:id="184" w:name="_Toc121470561"/>
      <w:r>
        <w:rPr>
          <w:rFonts w:ascii="黑体" w:hAnsi="黑体"/>
          <w:b w:val="0"/>
          <w:color w:val="auto"/>
          <w:highlight w:val="none"/>
        </w:rPr>
        <w:t>28.</w:t>
      </w:r>
      <w:r>
        <w:rPr>
          <w:rFonts w:hint="eastAsia" w:ascii="黑体" w:hAnsi="黑体"/>
          <w:b w:val="0"/>
          <w:color w:val="auto"/>
          <w:highlight w:val="none"/>
        </w:rPr>
        <w:t>解释与澄清</w:t>
      </w:r>
      <w:bookmarkEnd w:id="175"/>
      <w:bookmarkEnd w:id="176"/>
      <w:bookmarkEnd w:id="177"/>
      <w:bookmarkEnd w:id="178"/>
      <w:bookmarkEnd w:id="179"/>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28.1</w:t>
      </w:r>
      <w:r>
        <w:rPr>
          <w:rFonts w:hint="eastAsia" w:ascii="宋体" w:hAnsi="宋体"/>
          <w:bCs/>
          <w:color w:val="auto"/>
          <w:sz w:val="28"/>
          <w:szCs w:val="28"/>
          <w:highlight w:val="none"/>
        </w:rPr>
        <w:t>对于投标文件中含义不明确</w:t>
      </w:r>
      <w:r>
        <w:rPr>
          <w:rFonts w:hint="eastAsia" w:asciiTheme="minorEastAsia" w:hAnsiTheme="minorEastAsia" w:eastAsiaTheme="minorEastAsia"/>
          <w:bCs/>
          <w:color w:val="auto"/>
          <w:sz w:val="28"/>
          <w:szCs w:val="28"/>
          <w:highlight w:val="none"/>
        </w:rPr>
        <w:t>、同类问题表述不一致</w:t>
      </w:r>
      <w:r>
        <w:rPr>
          <w:rFonts w:hint="eastAsia" w:ascii="宋体" w:hAnsi="宋体"/>
          <w:bCs/>
          <w:color w:val="auto"/>
          <w:sz w:val="28"/>
          <w:szCs w:val="28"/>
          <w:highlight w:val="none"/>
        </w:rPr>
        <w:t>或有明显文字、计算错误的内容，</w:t>
      </w:r>
      <w:r>
        <w:rPr>
          <w:rFonts w:hint="eastAsia" w:asciiTheme="minorEastAsia" w:hAnsiTheme="minorEastAsia" w:eastAsiaTheme="minorEastAsia"/>
          <w:bCs/>
          <w:color w:val="auto"/>
          <w:sz w:val="28"/>
          <w:szCs w:val="28"/>
          <w:highlight w:val="none"/>
        </w:rPr>
        <w:t>评审委员会应当要求</w:t>
      </w:r>
      <w:r>
        <w:rPr>
          <w:rFonts w:hint="eastAsia" w:ascii="宋体" w:hAnsi="宋体"/>
          <w:bCs/>
          <w:color w:val="auto"/>
          <w:sz w:val="28"/>
          <w:szCs w:val="28"/>
          <w:highlight w:val="none"/>
        </w:rPr>
        <w:t>投标供应商作出必要的澄清、说明或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28.2</w:t>
      </w:r>
      <w:r>
        <w:rPr>
          <w:rFonts w:hint="eastAsia" w:ascii="宋体" w:hAnsi="宋体"/>
          <w:bCs/>
          <w:color w:val="auto"/>
          <w:sz w:val="28"/>
          <w:szCs w:val="28"/>
          <w:highlight w:val="none"/>
        </w:rPr>
        <w:t>投标供应商的澄清、说明或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应当采用书面形式，并由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。未签字的，澄清、说明或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内容无效。</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28.3</w:t>
      </w:r>
      <w:r>
        <w:rPr>
          <w:rFonts w:hint="eastAsia" w:ascii="宋体" w:hAnsi="宋体"/>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28.4</w:t>
      </w:r>
      <w:r>
        <w:rPr>
          <w:rFonts w:hint="eastAsia" w:ascii="宋体" w:hAnsi="宋体"/>
          <w:bCs/>
          <w:color w:val="auto"/>
          <w:sz w:val="28"/>
          <w:szCs w:val="28"/>
          <w:highlight w:val="none"/>
        </w:rPr>
        <w:t>投标文件出现</w:t>
      </w:r>
      <w:r>
        <w:rPr>
          <w:rFonts w:hint="eastAsia" w:asciiTheme="minorEastAsia" w:hAnsiTheme="minorEastAsia" w:eastAsiaTheme="minorEastAsia"/>
          <w:bCs/>
          <w:color w:val="auto"/>
          <w:sz w:val="28"/>
          <w:szCs w:val="28"/>
          <w:highlight w:val="none"/>
        </w:rPr>
        <w:t>下列情形，不需要投标供应商澄清，</w:t>
      </w:r>
      <w:r>
        <w:rPr>
          <w:rFonts w:hint="eastAsia" w:ascii="宋体" w:hAnsi="宋体"/>
          <w:bCs/>
          <w:color w:val="auto"/>
          <w:sz w:val="28"/>
          <w:szCs w:val="28"/>
          <w:highlight w:val="none"/>
        </w:rPr>
        <w:t>按照下列规定</w:t>
      </w:r>
      <w:r>
        <w:rPr>
          <w:rFonts w:hint="eastAsia" w:asciiTheme="minorEastAsia" w:hAnsiTheme="minorEastAsia" w:eastAsiaTheme="minorEastAsia"/>
          <w:bCs/>
          <w:color w:val="auto"/>
          <w:sz w:val="28"/>
          <w:szCs w:val="28"/>
          <w:highlight w:val="none"/>
        </w:rPr>
        <w:t>进行算术</w:t>
      </w:r>
      <w:r>
        <w:rPr>
          <w:rFonts w:hint="eastAsia" w:ascii="宋体" w:hAnsi="宋体"/>
          <w:bCs/>
          <w:color w:val="auto"/>
          <w:sz w:val="28"/>
          <w:szCs w:val="28"/>
          <w:highlight w:val="none"/>
        </w:rPr>
        <w:t>修正：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1）投标文件中开标一览表内容与投标文件中相应内容不一致的，以开标一览表为准</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bookmarkStart w:id="185" w:name="_Hlk127993290"/>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bookmarkEnd w:id="185"/>
    </w:p>
    <w:p>
      <w:pPr>
        <w:pStyle w:val="17"/>
        <w:spacing w:after="0" w:line="560" w:lineRule="exact"/>
        <w:ind w:firstLine="560" w:firstLineChars="200"/>
        <w:rPr>
          <w:color w:val="auto"/>
          <w:highlight w:val="none"/>
        </w:rPr>
      </w:pPr>
      <w:bookmarkStart w:id="186" w:name="_Hlk127993298"/>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bookmarkEnd w:id="186"/>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同时出现本条第（</w:t>
      </w:r>
      <w:r>
        <w:rPr>
          <w:rFonts w:ascii="宋体" w:hAnsi="宋体"/>
          <w:bCs/>
          <w:color w:val="auto"/>
          <w:sz w:val="28"/>
          <w:szCs w:val="28"/>
          <w:highlight w:val="none"/>
        </w:rPr>
        <w:t>2）（3）项情形的，</w:t>
      </w:r>
      <w:r>
        <w:rPr>
          <w:rFonts w:hint="eastAsia" w:ascii="宋体" w:hAnsi="宋体"/>
          <w:bCs/>
          <w:color w:val="auto"/>
          <w:sz w:val="28"/>
          <w:szCs w:val="28"/>
          <w:highlight w:val="none"/>
        </w:rPr>
        <w:t>按照第（</w:t>
      </w:r>
      <w:r>
        <w:rPr>
          <w:rFonts w:ascii="宋体" w:hAnsi="宋体"/>
          <w:bCs/>
          <w:color w:val="auto"/>
          <w:sz w:val="28"/>
          <w:szCs w:val="28"/>
          <w:highlight w:val="none"/>
        </w:rPr>
        <w:t>2）项规定修正。修正后的内容经</w:t>
      </w:r>
      <w:r>
        <w:rPr>
          <w:rFonts w:hint="eastAsia" w:ascii="宋体" w:hAnsi="宋体"/>
          <w:bCs/>
          <w:color w:val="auto"/>
          <w:sz w:val="28"/>
          <w:szCs w:val="28"/>
          <w:highlight w:val="none"/>
        </w:rPr>
        <w:t>投标供应商确认后</w:t>
      </w:r>
      <w:r>
        <w:rPr>
          <w:rFonts w:hint="eastAsia" w:asciiTheme="minorEastAsia" w:hAnsiTheme="minorEastAsia" w:eastAsiaTheme="minorEastAsia"/>
          <w:bCs/>
          <w:color w:val="auto"/>
          <w:sz w:val="28"/>
          <w:szCs w:val="28"/>
          <w:highlight w:val="none"/>
        </w:rPr>
        <w:t>继续评审</w:t>
      </w:r>
      <w:r>
        <w:rPr>
          <w:rFonts w:hint="eastAsia" w:ascii="宋体" w:hAnsi="宋体"/>
          <w:bCs/>
          <w:color w:val="auto"/>
          <w:sz w:val="28"/>
          <w:szCs w:val="28"/>
          <w:highlight w:val="none"/>
        </w:rPr>
        <w:t>，投标供应商不确认的，其投标无效。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cs="仿宋"/>
          <w:bCs/>
          <w:color w:val="auto"/>
          <w:sz w:val="28"/>
          <w:szCs w:val="28"/>
          <w:highlight w:val="none"/>
        </w:rPr>
        <w:t>28.5</w:t>
      </w:r>
      <w:r>
        <w:rPr>
          <w:rFonts w:hint="eastAsia" w:ascii="宋体" w:hAnsi="宋体" w:cs="仿宋"/>
          <w:bCs/>
          <w:color w:val="auto"/>
          <w:sz w:val="28"/>
          <w:szCs w:val="28"/>
          <w:highlight w:val="none"/>
        </w:rPr>
        <w:t>评审委员会组织澄清时不得出现下列情形：</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cs="仿宋"/>
          <w:bCs/>
          <w:color w:val="auto"/>
          <w:sz w:val="28"/>
          <w:szCs w:val="28"/>
          <w:highlight w:val="none"/>
        </w:rPr>
        <w:t>要求或接受投标供应商作出超出投标文件的范围、与投标文件原义不同，或改变投标文件实质性内容的</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暗示或诱导投标供应商作出</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接受投标供应商主动提出的</w:t>
      </w:r>
      <w:r>
        <w:rPr>
          <w:rFonts w:hint="eastAsia" w:ascii="宋体" w:hAnsi="宋体"/>
          <w:bCs/>
          <w:color w:val="auto"/>
          <w:sz w:val="28"/>
          <w:szCs w:val="28"/>
          <w:highlight w:val="none"/>
        </w:rPr>
        <w:t>澄清、说明、补正</w:t>
      </w:r>
      <w:r>
        <w:rPr>
          <w:rFonts w:hint="eastAsia" w:ascii="宋体" w:hAnsi="宋体" w:cs="仿宋"/>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28.6</w:t>
      </w:r>
      <w:r>
        <w:rPr>
          <w:rFonts w:hint="eastAsia" w:ascii="宋体" w:hAnsi="宋体"/>
          <w:bCs/>
          <w:color w:val="auto"/>
          <w:sz w:val="28"/>
          <w:szCs w:val="28"/>
          <w:highlight w:val="none"/>
        </w:rPr>
        <w:t>评审委员会不得要求投标供应商澄清下列内容：</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cs="仿宋"/>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）投标文件中未提供的资格性、符合性审查要求的证明材料。</w:t>
      </w:r>
      <w:bookmarkEnd w:id="180"/>
      <w:bookmarkEnd w:id="181"/>
      <w:bookmarkEnd w:id="182"/>
      <w:bookmarkEnd w:id="183"/>
      <w:bookmarkEnd w:id="184"/>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bookmarkStart w:id="187" w:name="_Toc7700"/>
      <w:bookmarkStart w:id="188" w:name="_Toc121470562"/>
      <w:bookmarkStart w:id="189" w:name="_Toc19718"/>
      <w:bookmarkStart w:id="190" w:name="_Toc15705"/>
      <w:bookmarkStart w:id="191" w:name="_Toc22444"/>
      <w:r>
        <w:rPr>
          <w:rFonts w:hint="eastAsia"/>
          <w:color w:val="auto"/>
          <w:sz w:val="28"/>
          <w:szCs w:val="28"/>
          <w:highlight w:val="none"/>
        </w:rPr>
        <w:t>评审委员会按照招标文件中明确的评审方法和标准，对资格性和符合性审查合格的</w:t>
      </w:r>
      <w:r>
        <w:rPr>
          <w:rFonts w:hint="eastAsia" w:ascii="宋体" w:hAnsi="宋体"/>
          <w:color w:val="auto"/>
          <w:sz w:val="28"/>
          <w:szCs w:val="28"/>
          <w:highlight w:val="none"/>
        </w:rPr>
        <w:t>投标供应商提交的</w:t>
      </w:r>
      <w:r>
        <w:rPr>
          <w:rFonts w:hint="eastAsia"/>
          <w:color w:val="auto"/>
          <w:sz w:val="28"/>
          <w:szCs w:val="28"/>
          <w:highlight w:val="none"/>
        </w:rPr>
        <w:t>投标文件（不含价格文件）进行商务和技术评审。</w:t>
      </w:r>
    </w:p>
    <w:p>
      <w:pPr>
        <w:spacing w:line="560" w:lineRule="exact"/>
        <w:ind w:firstLine="560" w:firstLineChars="200"/>
        <w:rPr>
          <w:rFonts w:ascii="宋体" w:hAnsi="宋体"/>
          <w:b/>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29.1</w:t>
      </w:r>
      <w:r>
        <w:rPr>
          <w:rFonts w:hint="eastAsia" w:ascii="宋体" w:hAnsi="宋体"/>
          <w:bCs/>
          <w:snapToGrid w:val="0"/>
          <w:color w:val="auto"/>
          <w:sz w:val="28"/>
          <w:szCs w:val="28"/>
          <w:highlight w:val="none"/>
          <w:lang w:val="zh-CN"/>
        </w:rPr>
        <w:t>采用综合评分法</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质量优先法评审时：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29.2</w:t>
      </w:r>
      <w:r>
        <w:rPr>
          <w:rFonts w:hint="eastAsia" w:ascii="宋体" w:hAnsi="宋体"/>
          <w:bCs/>
          <w:snapToGrid w:val="0"/>
          <w:color w:val="auto"/>
          <w:sz w:val="28"/>
          <w:szCs w:val="28"/>
          <w:highlight w:val="none"/>
          <w:lang w:val="zh-CN"/>
        </w:rPr>
        <w:t>采用经评审的最低价法评审时：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评审委员会按招标文件规定的评审标准，对</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技术指标是否实质性响应进行判定；必要时，对技术指标优劣进行排序。</w:t>
      </w:r>
    </w:p>
    <w:p>
      <w:pPr>
        <w:pStyle w:val="17"/>
        <w:spacing w:after="0" w:line="560" w:lineRule="exact"/>
        <w:ind w:firstLine="560" w:firstLineChars="200"/>
        <w:rPr>
          <w:rFonts w:ascii="宋体" w:hAnsi="宋体"/>
          <w:color w:val="auto"/>
          <w:sz w:val="28"/>
          <w:szCs w:val="28"/>
          <w:highlight w:val="none"/>
          <w:lang w:val="zh-CN"/>
        </w:rPr>
      </w:pPr>
      <w:r>
        <w:rPr>
          <w:rFonts w:ascii="宋体" w:hAnsi="宋体"/>
          <w:bCs/>
          <w:snapToGrid w:val="0"/>
          <w:color w:val="auto"/>
          <w:sz w:val="28"/>
          <w:szCs w:val="28"/>
          <w:highlight w:val="none"/>
          <w:lang w:val="zh-CN"/>
        </w:rPr>
        <w:t>29.3</w:t>
      </w:r>
      <w:r>
        <w:rPr>
          <w:rFonts w:hint="eastAsia" w:ascii="宋体" w:hAnsi="宋体"/>
          <w:bCs/>
          <w:snapToGrid w:val="0"/>
          <w:color w:val="auto"/>
          <w:sz w:val="28"/>
          <w:szCs w:val="28"/>
          <w:highlight w:val="none"/>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187"/>
      <w:bookmarkEnd w:id="188"/>
      <w:bookmarkEnd w:id="189"/>
      <w:bookmarkEnd w:id="190"/>
      <w:bookmarkEnd w:id="191"/>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价格评审</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商务、技术评审结束后，工作人员再将“价格文件”交评审委员会。</w:t>
      </w:r>
      <w:r>
        <w:rPr>
          <w:rFonts w:hint="eastAsia" w:ascii="宋体" w:hAnsi="宋体"/>
          <w:bCs/>
          <w:color w:val="auto"/>
          <w:sz w:val="28"/>
          <w:szCs w:val="28"/>
          <w:highlight w:val="none"/>
        </w:rPr>
        <w:t>评审委员会组织价格评审，核对报价内容是否准确、合理。</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30.1</w:t>
      </w:r>
      <w:r>
        <w:rPr>
          <w:rFonts w:hint="eastAsia" w:asciiTheme="minorEastAsia" w:hAnsiTheme="minorEastAsia" w:eastAsiaTheme="minorEastAsia"/>
          <w:bCs/>
          <w:snapToGrid w:val="0"/>
          <w:color w:val="auto"/>
          <w:sz w:val="28"/>
          <w:szCs w:val="28"/>
          <w:highlight w:val="none"/>
          <w:lang w:val="zh-CN"/>
        </w:rPr>
        <w:t>综合评分法和质量优先法的价格分的计算方法，采用低价优先法或基准价法。</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1）低价优先法</w:t>
      </w:r>
      <w:r>
        <w:rPr>
          <w:rFonts w:hint="eastAsia" w:asciiTheme="minorEastAsia" w:hAnsiTheme="minorEastAsia" w:eastAsiaTheme="minorEastAsia"/>
          <w:bCs/>
          <w:snapToGrid w:val="0"/>
          <w:color w:val="auto"/>
          <w:sz w:val="28"/>
          <w:szCs w:val="28"/>
          <w:highlight w:val="none"/>
          <w:lang w:val="zh-CN"/>
        </w:rPr>
        <w:t>。以满足招标文件实质性要求的投标供应商最低报价为评审基准价，其价格分为满分（标准分值）。其他投标供应商的价格分按照下列公式计算：</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价格得分</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（评审基准价</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报价）×标准分值</w:t>
      </w:r>
    </w:p>
    <w:p>
      <w:pPr>
        <w:spacing w:line="560" w:lineRule="exact"/>
        <w:ind w:firstLine="560" w:firstLineChars="200"/>
        <w:rPr>
          <w:color w:val="auto"/>
          <w:sz w:val="28"/>
          <w:szCs w:val="28"/>
          <w:highlight w:val="none"/>
          <w:lang w:val="zh-CN"/>
        </w:rPr>
      </w:pPr>
      <w:r>
        <w:rPr>
          <w:rFonts w:hint="eastAsia" w:ascii="宋体" w:hAnsi="宋体"/>
          <w:color w:val="auto"/>
          <w:sz w:val="28"/>
          <w:szCs w:val="28"/>
          <w:highlight w:val="none"/>
        </w:rPr>
        <w:t>（</w:t>
      </w:r>
      <w:r>
        <w:rPr>
          <w:rFonts w:ascii="宋体" w:hAnsi="宋体"/>
          <w:color w:val="auto"/>
          <w:sz w:val="28"/>
          <w:szCs w:val="28"/>
          <w:highlight w:val="none"/>
        </w:rPr>
        <w:t>2）</w:t>
      </w:r>
      <w:r>
        <w:rPr>
          <w:rFonts w:hint="eastAsia" w:ascii="宋体" w:hAnsi="宋体"/>
          <w:color w:val="auto"/>
          <w:sz w:val="28"/>
          <w:szCs w:val="28"/>
          <w:highlight w:val="none"/>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pPr>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如有第</w:t>
      </w:r>
      <w:r>
        <w:rPr>
          <w:rFonts w:asciiTheme="minorEastAsia" w:hAnsiTheme="minorEastAsia" w:eastAsiaTheme="minorEastAsia"/>
          <w:bCs/>
          <w:snapToGrid w:val="0"/>
          <w:color w:val="auto"/>
          <w:sz w:val="28"/>
          <w:szCs w:val="28"/>
          <w:highlight w:val="none"/>
          <w:lang w:val="zh-CN"/>
        </w:rPr>
        <w:t>28.4</w:t>
      </w:r>
      <w:r>
        <w:rPr>
          <w:rFonts w:hint="eastAsia" w:asciiTheme="minorEastAsia" w:hAnsiTheme="minorEastAsia" w:eastAsiaTheme="minorEastAsia"/>
          <w:bCs/>
          <w:snapToGrid w:val="0"/>
          <w:color w:val="auto"/>
          <w:sz w:val="28"/>
          <w:szCs w:val="28"/>
          <w:highlight w:val="none"/>
          <w:lang w:val="zh-CN"/>
        </w:rPr>
        <w:t>条出现的算术修正，以算术修正后的价格计算评审基准价和投标报价。</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30.2经评审的最低价法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按照投标报价由低到高顺序排列</w:t>
      </w:r>
      <w:r>
        <w:rPr>
          <w:rFonts w:hint="eastAsia"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30.3</w:t>
      </w:r>
      <w:r>
        <w:rPr>
          <w:rFonts w:hint="eastAsia" w:ascii="宋体" w:hAnsi="宋体"/>
          <w:bCs/>
          <w:snapToGrid w:val="0"/>
          <w:color w:val="auto"/>
          <w:sz w:val="28"/>
          <w:szCs w:val="28"/>
          <w:highlight w:val="none"/>
          <w:lang w:val="zh-CN"/>
        </w:rPr>
        <w:t>评审委员会认为投标供应商报价低于其他</w:t>
      </w:r>
      <w:r>
        <w:rPr>
          <w:rFonts w:hint="eastAsia" w:ascii="宋体" w:hAnsi="宋体"/>
          <w:bCs/>
          <w:color w:val="auto"/>
          <w:sz w:val="28"/>
          <w:szCs w:val="28"/>
          <w:highlight w:val="none"/>
        </w:rPr>
        <w:t>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投标</w:t>
      </w:r>
      <w:r>
        <w:rPr>
          <w:rFonts w:hint="eastAsia" w:ascii="宋体" w:hAnsi="宋体"/>
          <w:bCs/>
          <w:snapToGrid w:val="0"/>
          <w:color w:val="auto"/>
          <w:sz w:val="28"/>
          <w:szCs w:val="28"/>
          <w:highlight w:val="none"/>
          <w:lang w:val="zh-CN"/>
        </w:rPr>
        <w:t>供应商平均报价</w:t>
      </w:r>
      <w:r>
        <w:rPr>
          <w:rFonts w:ascii="宋体" w:hAnsi="宋体"/>
          <w:bCs/>
          <w:snapToGrid w:val="0"/>
          <w:color w:val="auto"/>
          <w:sz w:val="28"/>
          <w:szCs w:val="28"/>
          <w:highlight w:val="none"/>
          <w:lang w:val="zh-CN"/>
        </w:rPr>
        <w:t>40%，有可能影响</w:t>
      </w:r>
      <w:r>
        <w:rPr>
          <w:rFonts w:hint="eastAsia" w:ascii="宋体" w:hAnsi="宋体"/>
          <w:bCs/>
          <w:snapToGrid w:val="0"/>
          <w:color w:val="auto"/>
          <w:sz w:val="28"/>
          <w:szCs w:val="28"/>
          <w:highlight w:val="none"/>
          <w:lang w:val="zh-CN"/>
        </w:rPr>
        <w:t>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30.4</w:t>
      </w:r>
      <w:r>
        <w:rPr>
          <w:rFonts w:hint="eastAsia" w:ascii="宋体" w:hAnsi="宋体"/>
          <w:bCs/>
          <w:snapToGrid w:val="0"/>
          <w:color w:val="auto"/>
          <w:sz w:val="28"/>
          <w:szCs w:val="28"/>
          <w:highlight w:val="none"/>
          <w:lang w:val="zh-CN"/>
        </w:rPr>
        <w:t>投标供应商投标报价超过预算的，按照下列方式处理：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1）投标供应商</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报价均超预算的，</w:t>
      </w:r>
      <w:r>
        <w:rPr>
          <w:rFonts w:hint="eastAsia" w:ascii="宋体" w:hAnsi="宋体"/>
          <w:bCs/>
          <w:snapToGrid w:val="0"/>
          <w:color w:val="auto"/>
          <w:sz w:val="28"/>
          <w:szCs w:val="28"/>
          <w:highlight w:val="none"/>
          <w:lang w:val="zh-CN"/>
        </w:rPr>
        <w:t>评审委员会和采购机构应当结合市场调查情况、投标供应商报价</w:t>
      </w:r>
      <w:r>
        <w:rPr>
          <w:rFonts w:hint="eastAsia" w:ascii="宋体" w:hAnsi="宋体"/>
          <w:bCs/>
          <w:color w:val="auto"/>
          <w:sz w:val="28"/>
          <w:szCs w:val="28"/>
          <w:highlight w:val="none"/>
        </w:rPr>
        <w:t>材料</w:t>
      </w:r>
      <w:r>
        <w:rPr>
          <w:rFonts w:hint="eastAsia" w:ascii="宋体" w:hAnsi="宋体"/>
          <w:bCs/>
          <w:snapToGrid w:val="0"/>
          <w:color w:val="auto"/>
          <w:sz w:val="28"/>
          <w:szCs w:val="28"/>
          <w:highlight w:val="none"/>
          <w:lang w:val="zh-CN"/>
        </w:rPr>
        <w:t>等进行综合分析研判，认定投标供应商报价合理的，函询采购单位能否追加预算，采购单位函复确认追加的，继续评审；认定投标供应商报价不合理或采购单位无法追加的，终止评审。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部分投标供应商</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报价超预算的，应当继续评审。</w:t>
      </w:r>
      <w:r>
        <w:rPr>
          <w:rFonts w:hint="eastAsia" w:asciiTheme="minorEastAsia" w:hAnsiTheme="minorEastAsia" w:eastAsiaTheme="minorEastAsia"/>
          <w:bCs/>
          <w:snapToGrid w:val="0"/>
          <w:color w:val="auto"/>
          <w:sz w:val="28"/>
          <w:szCs w:val="28"/>
          <w:highlight w:val="none"/>
          <w:lang w:val="zh-CN"/>
        </w:rPr>
        <w:t>评审后，预</w:t>
      </w:r>
      <w:r>
        <w:rPr>
          <w:rFonts w:asciiTheme="minorEastAsia" w:hAnsiTheme="minorEastAsia" w:eastAsiaTheme="minorEastAsia"/>
          <w:bCs/>
          <w:snapToGrid w:val="0"/>
          <w:color w:val="auto"/>
          <w:sz w:val="28"/>
          <w:szCs w:val="28"/>
          <w:highlight w:val="none"/>
          <w:lang w:val="zh-CN"/>
        </w:rPr>
        <w:t>中标供应商报价未超预算的，评审结果有效</w:t>
      </w:r>
      <w:r>
        <w:rPr>
          <w:rFonts w:hint="eastAsia" w:asciiTheme="minorEastAsia" w:hAnsiTheme="minorEastAsia" w:eastAsiaTheme="minorEastAsia"/>
          <w:bCs/>
          <w:snapToGrid w:val="0"/>
          <w:color w:val="auto"/>
          <w:sz w:val="28"/>
          <w:szCs w:val="28"/>
          <w:highlight w:val="none"/>
          <w:lang w:val="zh-CN"/>
        </w:rPr>
        <w:t>。预</w:t>
      </w:r>
      <w:r>
        <w:rPr>
          <w:rFonts w:asciiTheme="minorEastAsia" w:hAnsiTheme="minorEastAsia" w:eastAsiaTheme="minorEastAsia"/>
          <w:bCs/>
          <w:snapToGrid w:val="0"/>
          <w:color w:val="auto"/>
          <w:sz w:val="28"/>
          <w:szCs w:val="28"/>
          <w:highlight w:val="none"/>
          <w:lang w:val="zh-CN"/>
        </w:rPr>
        <w:t>中标供应商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超预算，</w:t>
      </w:r>
      <w:r>
        <w:rPr>
          <w:rFonts w:hint="eastAsia" w:asciiTheme="minorEastAsia" w:hAnsiTheme="minorEastAsia" w:eastAsiaTheme="minorEastAsia"/>
          <w:bCs/>
          <w:snapToGrid w:val="0"/>
          <w:color w:val="auto"/>
          <w:sz w:val="28"/>
          <w:szCs w:val="28"/>
          <w:highlight w:val="none"/>
          <w:lang w:val="zh-CN"/>
        </w:rPr>
        <w:t>经</w:t>
      </w:r>
      <w:r>
        <w:rPr>
          <w:rFonts w:asciiTheme="minorEastAsia" w:hAnsiTheme="minorEastAsia" w:eastAsiaTheme="minorEastAsia"/>
          <w:bCs/>
          <w:snapToGrid w:val="0"/>
          <w:color w:val="auto"/>
          <w:sz w:val="28"/>
          <w:szCs w:val="28"/>
          <w:highlight w:val="none"/>
          <w:lang w:val="zh-CN"/>
        </w:rPr>
        <w:t>采购</w:t>
      </w:r>
      <w:r>
        <w:rPr>
          <w:rFonts w:hint="eastAsia" w:asciiTheme="minorEastAsia" w:hAnsiTheme="minorEastAsia" w:eastAsiaTheme="minorEastAsia"/>
          <w:bCs/>
          <w:snapToGrid w:val="0"/>
          <w:color w:val="auto"/>
          <w:sz w:val="28"/>
          <w:szCs w:val="28"/>
          <w:highlight w:val="none"/>
          <w:lang w:val="zh-CN"/>
        </w:rPr>
        <w:t>单位书面确认能够追加</w:t>
      </w:r>
      <w:r>
        <w:rPr>
          <w:rFonts w:asciiTheme="minorEastAsia" w:hAnsiTheme="minorEastAsia" w:eastAsiaTheme="minorEastAsia"/>
          <w:bCs/>
          <w:snapToGrid w:val="0"/>
          <w:color w:val="auto"/>
          <w:sz w:val="28"/>
          <w:szCs w:val="28"/>
          <w:highlight w:val="none"/>
          <w:lang w:val="zh-CN"/>
        </w:rPr>
        <w:t>的</w:t>
      </w:r>
      <w:r>
        <w:rPr>
          <w:rFonts w:hint="eastAsia" w:asciiTheme="minorEastAsia" w:hAnsiTheme="minorEastAsia" w:eastAsiaTheme="minorEastAsia"/>
          <w:bCs/>
          <w:snapToGrid w:val="0"/>
          <w:color w:val="auto"/>
          <w:sz w:val="28"/>
          <w:szCs w:val="28"/>
          <w:highlight w:val="none"/>
          <w:lang w:val="zh-CN"/>
        </w:rPr>
        <w:t>，评审结果有效；不能追加的，采购单位</w:t>
      </w:r>
      <w:r>
        <w:rPr>
          <w:rFonts w:asciiTheme="minorEastAsia" w:hAnsiTheme="minorEastAsia" w:eastAsiaTheme="minorEastAsia"/>
          <w:bCs/>
          <w:snapToGrid w:val="0"/>
          <w:color w:val="auto"/>
          <w:sz w:val="28"/>
          <w:szCs w:val="28"/>
          <w:highlight w:val="none"/>
          <w:lang w:val="zh-CN"/>
        </w:rPr>
        <w:t>可以按照评审排名结果依次</w:t>
      </w:r>
      <w:r>
        <w:rPr>
          <w:rFonts w:hint="eastAsia" w:asciiTheme="minorEastAsia" w:hAnsiTheme="minorEastAsia" w:eastAsiaTheme="minorEastAsia"/>
          <w:bCs/>
          <w:snapToGrid w:val="0"/>
          <w:color w:val="auto"/>
          <w:sz w:val="28"/>
          <w:szCs w:val="28"/>
          <w:highlight w:val="none"/>
          <w:lang w:val="zh-CN"/>
        </w:rPr>
        <w:t>递补</w:t>
      </w:r>
      <w:r>
        <w:rPr>
          <w:rFonts w:asciiTheme="minorEastAsia" w:hAnsiTheme="minorEastAsia" w:eastAsiaTheme="minorEastAsia"/>
          <w:bCs/>
          <w:snapToGrid w:val="0"/>
          <w:color w:val="auto"/>
          <w:sz w:val="28"/>
          <w:szCs w:val="28"/>
          <w:highlight w:val="none"/>
          <w:lang w:val="zh-CN"/>
        </w:rPr>
        <w:t>确定中标供应商，</w:t>
      </w:r>
      <w:r>
        <w:rPr>
          <w:rFonts w:hint="eastAsia" w:asciiTheme="minorEastAsia" w:hAnsiTheme="minorEastAsia" w:eastAsiaTheme="minorEastAsia"/>
          <w:bCs/>
          <w:snapToGrid w:val="0"/>
          <w:color w:val="auto"/>
          <w:sz w:val="28"/>
          <w:szCs w:val="28"/>
          <w:highlight w:val="none"/>
          <w:lang w:val="zh-CN"/>
        </w:rPr>
        <w:t>但剩余有效投标供应商数量应当达到需要递补投标供应商数量的</w:t>
      </w:r>
      <w:r>
        <w:rPr>
          <w:rFonts w:asciiTheme="minorEastAsia" w:hAnsiTheme="minorEastAsia" w:eastAsiaTheme="minorEastAsia"/>
          <w:bCs/>
          <w:snapToGrid w:val="0"/>
          <w:color w:val="auto"/>
          <w:sz w:val="28"/>
          <w:szCs w:val="28"/>
          <w:highlight w:val="none"/>
          <w:lang w:val="zh-CN"/>
        </w:rPr>
        <w:t>2倍，否则由采购</w:t>
      </w:r>
      <w:r>
        <w:rPr>
          <w:rFonts w:hint="eastAsia" w:asciiTheme="minorEastAsia" w:hAnsiTheme="minorEastAsia" w:eastAsiaTheme="minorEastAsia"/>
          <w:bCs/>
          <w:snapToGrid w:val="0"/>
          <w:color w:val="auto"/>
          <w:sz w:val="28"/>
          <w:szCs w:val="28"/>
          <w:highlight w:val="none"/>
          <w:lang w:val="zh-CN"/>
        </w:rPr>
        <w:t>机构</w:t>
      </w:r>
      <w:r>
        <w:rPr>
          <w:rFonts w:asciiTheme="minorEastAsia" w:hAnsiTheme="minorEastAsia" w:eastAsiaTheme="minorEastAsia"/>
          <w:bCs/>
          <w:snapToGrid w:val="0"/>
          <w:color w:val="auto"/>
          <w:sz w:val="28"/>
          <w:szCs w:val="28"/>
          <w:highlight w:val="none"/>
          <w:lang w:val="zh-CN"/>
        </w:rPr>
        <w:t>重新</w:t>
      </w:r>
      <w:r>
        <w:rPr>
          <w:rFonts w:hint="eastAsia" w:asciiTheme="minorEastAsia" w:hAnsiTheme="minorEastAsia" w:eastAsiaTheme="minorEastAsia"/>
          <w:bCs/>
          <w:snapToGrid w:val="0"/>
          <w:color w:val="auto"/>
          <w:sz w:val="28"/>
          <w:szCs w:val="28"/>
          <w:highlight w:val="none"/>
          <w:lang w:val="zh-CN"/>
        </w:rPr>
        <w:t>组织采购。</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3）同一采购项目中的部分</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单价或金额超预算，</w:t>
      </w:r>
      <w:r>
        <w:rPr>
          <w:rFonts w:hint="eastAsia" w:ascii="宋体" w:hAnsi="宋体"/>
          <w:bCs/>
          <w:snapToGrid w:val="0"/>
          <w:color w:val="auto"/>
          <w:sz w:val="28"/>
          <w:szCs w:val="28"/>
          <w:highlight w:val="none"/>
          <w:lang w:val="zh-CN"/>
        </w:rPr>
        <w:t>但</w:t>
      </w:r>
      <w:r>
        <w:rPr>
          <w:rFonts w:ascii="宋体" w:hAnsi="宋体"/>
          <w:bCs/>
          <w:snapToGrid w:val="0"/>
          <w:color w:val="auto"/>
          <w:sz w:val="28"/>
          <w:szCs w:val="28"/>
          <w:highlight w:val="none"/>
          <w:lang w:val="zh-CN"/>
        </w:rPr>
        <w:t>中标总金额未超预算的，视为</w:t>
      </w:r>
      <w:r>
        <w:rPr>
          <w:rFonts w:hint="eastAsia" w:ascii="宋体" w:hAnsi="宋体"/>
          <w:bCs/>
          <w:snapToGrid w:val="0"/>
          <w:color w:val="auto"/>
          <w:sz w:val="28"/>
          <w:szCs w:val="28"/>
          <w:highlight w:val="none"/>
          <w:lang w:val="zh-CN"/>
        </w:rPr>
        <w:t>采购项目未超预算</w:t>
      </w:r>
      <w:r>
        <w:rPr>
          <w:rFonts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汇总得分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1.1</w:t>
      </w:r>
      <w:r>
        <w:rPr>
          <w:rFonts w:hint="eastAsia" w:ascii="宋体" w:hAnsi="宋体"/>
          <w:bCs/>
          <w:color w:val="auto"/>
          <w:sz w:val="28"/>
          <w:szCs w:val="28"/>
          <w:highlight w:val="none"/>
        </w:rPr>
        <w:t>投标供应商评审总得分为投标报价、</w:t>
      </w:r>
      <w:r>
        <w:rPr>
          <w:rFonts w:hint="eastAsia" w:asciiTheme="minorEastAsia" w:hAnsiTheme="minorEastAsia" w:eastAsiaTheme="minorEastAsia"/>
          <w:bCs/>
          <w:color w:val="auto"/>
          <w:sz w:val="28"/>
          <w:szCs w:val="28"/>
          <w:highlight w:val="none"/>
        </w:rPr>
        <w:t>商务、</w:t>
      </w:r>
      <w:r>
        <w:rPr>
          <w:rFonts w:hint="eastAsia" w:ascii="宋体" w:hAnsi="宋体"/>
          <w:bCs/>
          <w:color w:val="auto"/>
          <w:sz w:val="28"/>
          <w:szCs w:val="28"/>
          <w:highlight w:val="none"/>
        </w:rPr>
        <w:t>技术评分项得分之和。评分分值计算保留小数点后两位，小数点后第三位“四舍五入”。</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32.复核评审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Theme="minorEastAsia" w:hAnsiTheme="minorEastAsia" w:eastAsiaTheme="minorEastAsia"/>
          <w:bCs/>
          <w:color w:val="auto"/>
          <w:sz w:val="28"/>
          <w:szCs w:val="28"/>
          <w:highlight w:val="none"/>
        </w:rPr>
        <w:t>32.2</w:t>
      </w:r>
      <w:r>
        <w:rPr>
          <w:rFonts w:hint="eastAsia" w:ascii="宋体" w:hAnsi="宋体"/>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2" w:name="_Toc3336"/>
      <w:bookmarkStart w:id="193" w:name="_Toc9083"/>
      <w:bookmarkStart w:id="194" w:name="_Toc121470563"/>
      <w:bookmarkStart w:id="195" w:name="_Toc19872"/>
      <w:bookmarkStart w:id="196" w:name="_Toc6080"/>
      <w:r>
        <w:rPr>
          <w:rFonts w:ascii="黑体" w:hAnsi="黑体"/>
          <w:b w:val="0"/>
          <w:color w:val="auto"/>
          <w:highlight w:val="none"/>
        </w:rPr>
        <w:t>33.</w:t>
      </w:r>
      <w:r>
        <w:rPr>
          <w:rFonts w:hint="eastAsia" w:ascii="黑体" w:hAnsi="黑体"/>
          <w:b w:val="0"/>
          <w:color w:val="auto"/>
          <w:highlight w:val="none"/>
        </w:rPr>
        <w:t>推荐预中标供应商</w:t>
      </w:r>
      <w:bookmarkEnd w:id="192"/>
      <w:bookmarkEnd w:id="193"/>
      <w:bookmarkEnd w:id="194"/>
      <w:bookmarkEnd w:id="195"/>
      <w:bookmarkEnd w:id="196"/>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w:t>
      </w:r>
      <w:r>
        <w:rPr>
          <w:rFonts w:ascii="宋体" w:hAnsi="宋体"/>
          <w:bCs/>
          <w:snapToGrid w:val="0"/>
          <w:color w:val="auto"/>
          <w:sz w:val="28"/>
          <w:szCs w:val="28"/>
          <w:highlight w:val="none"/>
          <w:lang w:val="zh-CN"/>
        </w:rPr>
        <w:t>依据经过复核的评审结果，对投标供应商进行排序并推荐预中标供应商</w:t>
      </w:r>
      <w:r>
        <w:rPr>
          <w:rFonts w:hint="eastAsia" w:ascii="宋体" w:hAnsi="宋体"/>
          <w:bCs/>
          <w:snapToGrid w:val="0"/>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33.1</w:t>
      </w:r>
      <w:r>
        <w:rPr>
          <w:rFonts w:hint="eastAsia" w:ascii="宋体" w:hAnsi="宋体"/>
          <w:bCs/>
          <w:color w:val="auto"/>
          <w:sz w:val="28"/>
          <w:szCs w:val="28"/>
          <w:highlight w:val="none"/>
        </w:rPr>
        <w:t>采用综合评分法、</w:t>
      </w:r>
      <w:r>
        <w:rPr>
          <w:rFonts w:ascii="宋体" w:hAnsi="宋体"/>
          <w:bCs/>
          <w:color w:val="auto"/>
          <w:sz w:val="28"/>
          <w:szCs w:val="28"/>
          <w:highlight w:val="none"/>
        </w:rPr>
        <w:t>质量优先法评审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最高的投标供应商作为预中标供应商；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投标报价由低到高顺序排列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最低报价的投标供应商作为预中标供应商。报价相同的，按照技术指标优劣顺序排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预中标供应商</w:t>
      </w:r>
      <w:r>
        <w:rPr>
          <w:rFonts w:hint="eastAsia" w:ascii="宋体" w:hAnsi="宋体"/>
          <w:bCs/>
          <w:color w:val="auto"/>
          <w:sz w:val="28"/>
          <w:szCs w:val="28"/>
          <w:highlight w:val="none"/>
        </w:rPr>
        <w:t>。专用文件未明确的，采取随机抽取方式确定。评审委员会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w:t>
      </w:r>
      <w:r>
        <w:rPr>
          <w:rFonts w:hint="eastAsia" w:ascii="宋体" w:hAnsi="宋体"/>
          <w:bCs/>
          <w:color w:val="auto"/>
          <w:sz w:val="28"/>
          <w:szCs w:val="28"/>
          <w:highlight w:val="none"/>
        </w:rPr>
        <w:t>投标</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33.2</w:t>
      </w:r>
      <w:r>
        <w:rPr>
          <w:rFonts w:hint="eastAsia" w:ascii="宋体" w:hAnsi="宋体"/>
          <w:bCs/>
          <w:color w:val="auto"/>
          <w:sz w:val="28"/>
          <w:szCs w:val="28"/>
          <w:highlight w:val="none"/>
        </w:rPr>
        <w:t>投标供应商报价高于全体有效投标供应商平均报价40%以上的，不得推荐为预中标供应商。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或质量优先法评审时，投标供应商的</w:t>
      </w:r>
      <w:r>
        <w:rPr>
          <w:rFonts w:ascii="宋体" w:hAnsi="宋体"/>
          <w:bCs/>
          <w:color w:val="auto"/>
          <w:sz w:val="28"/>
          <w:szCs w:val="28"/>
          <w:highlight w:val="none"/>
        </w:rPr>
        <w:t>商务和技术得分低于所有有效投标供应商商务和技术得分平均值30%以上的</w:t>
      </w:r>
      <w:r>
        <w:rPr>
          <w:rFonts w:hint="eastAsia" w:ascii="宋体" w:hAnsi="宋体"/>
          <w:bCs/>
          <w:color w:val="auto"/>
          <w:sz w:val="28"/>
          <w:szCs w:val="28"/>
          <w:highlight w:val="none"/>
        </w:rPr>
        <w:t>投标</w:t>
      </w:r>
      <w:r>
        <w:rPr>
          <w:rFonts w:ascii="宋体" w:hAnsi="宋体"/>
          <w:bCs/>
          <w:color w:val="auto"/>
          <w:sz w:val="28"/>
          <w:szCs w:val="28"/>
          <w:highlight w:val="none"/>
        </w:rPr>
        <w:t>供应商，不得推荐为预中标供应商。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33.3</w:t>
      </w:r>
      <w:r>
        <w:rPr>
          <w:rFonts w:hint="eastAsia" w:ascii="宋体" w:hAnsi="宋体"/>
          <w:color w:val="auto"/>
          <w:sz w:val="28"/>
          <w:szCs w:val="28"/>
          <w:highlight w:val="none"/>
        </w:rPr>
        <w:t>中标供应商数量、价格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家以上中标供应商，依据排名依次递减的原则确定承担任务数量或范围；也可以分成多包，每包确定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家供应商。采购机构应当在招标文件中载明中标供应商数量、承担任务的数量或范围。具体要求见投标邀请书。</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color w:val="auto"/>
          <w:sz w:val="28"/>
          <w:szCs w:val="28"/>
          <w:highlight w:val="none"/>
        </w:rPr>
        <w:t>确定多家供应商中标的，投标供应商数量通常为中标数量的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20.4</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经评审符合要求的投标供应商数量通常为中标数量的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倍的，采购机构可以商采购单位相应减少中标数量，经采购单位</w:t>
      </w:r>
      <w:r>
        <w:rPr>
          <w:rFonts w:hint="eastAsia" w:asciiTheme="minorEastAsia" w:hAnsiTheme="minorEastAsia" w:eastAsiaTheme="minorEastAsia"/>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）预中标供应商不接受第一名预中标供应商报价的，视为放弃中标资格，其放弃的数量，按照评审排名，从第一名开始，依次商投标供应商承担。</w:t>
      </w:r>
    </w:p>
    <w:p>
      <w:pPr>
        <w:spacing w:line="560" w:lineRule="exact"/>
        <w:ind w:firstLine="560" w:firstLineChars="200"/>
        <w:rPr>
          <w:rFonts w:ascii="宋体" w:hAnsi="宋体"/>
          <w:color w:val="auto"/>
          <w:sz w:val="28"/>
          <w:szCs w:val="28"/>
          <w:highlight w:val="none"/>
          <w:lang w:val="zh-CN"/>
        </w:rPr>
      </w:pPr>
      <w:r>
        <w:rPr>
          <w:rFonts w:hint="eastAsia" w:ascii="宋体" w:hAnsi="宋体"/>
          <w:bCs/>
          <w:color w:val="auto"/>
          <w:sz w:val="28"/>
          <w:szCs w:val="28"/>
          <w:highlight w:val="none"/>
        </w:rPr>
        <w:t>多家投标供应商中标价格确定方式应当唯一，具体方式见招标文件专用文件。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4.</w:t>
      </w:r>
      <w:r>
        <w:rPr>
          <w:rFonts w:hint="eastAsia" w:ascii="黑体" w:hAnsi="黑体"/>
          <w:b w:val="0"/>
          <w:color w:val="auto"/>
          <w:highlight w:val="none"/>
        </w:rPr>
        <w:t>出具评审报告</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34.1评审委员会根据全体成员签字的原始评标记录和评审结果编写评审报告。评审报告主要内容由评审委员会全体成员逐页签字确认。评审委员会成员对需要共同认定的事项存在争议的，按照少数服从多数的原则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hint="eastAsia" w:ascii="宋体" w:hAnsi="宋体" w:cs="仿宋"/>
          <w:bCs/>
          <w:color w:val="auto"/>
          <w:sz w:val="28"/>
          <w:szCs w:val="28"/>
          <w:highlight w:val="none"/>
        </w:rPr>
        <w:t>作</w:t>
      </w:r>
      <w:r>
        <w:rPr>
          <w:rFonts w:hint="eastAsia" w:ascii="宋体" w:hAnsi="宋体"/>
          <w:bCs/>
          <w:snapToGrid w:val="0"/>
          <w:color w:val="auto"/>
          <w:sz w:val="28"/>
          <w:szCs w:val="28"/>
          <w:highlight w:val="none"/>
          <w:lang w:val="zh-CN"/>
        </w:rPr>
        <w:t>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宣布评审结果</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5.1评审委员会组长应当当场向所有投标供应商宣布评审结果，包括</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供应商评审排名和报价，无效投标供应商名单和原因等。</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7" w:name="_Toc2853"/>
      <w:bookmarkStart w:id="198" w:name="_Toc25551"/>
      <w:bookmarkStart w:id="199" w:name="_Toc7662"/>
      <w:bookmarkStart w:id="200" w:name="_Toc8122"/>
      <w:bookmarkStart w:id="201" w:name="_Toc121216116"/>
      <w:bookmarkStart w:id="202" w:name="_Toc27426"/>
      <w:bookmarkStart w:id="203" w:name="_Toc29619"/>
      <w:bookmarkStart w:id="204" w:name="_Toc4208"/>
      <w:bookmarkStart w:id="205" w:name="_Toc29743"/>
      <w:bookmarkStart w:id="206" w:name="_Toc121470564"/>
      <w:r>
        <w:rPr>
          <w:rFonts w:ascii="黑体" w:hAnsi="黑体"/>
          <w:b w:val="0"/>
          <w:color w:val="auto"/>
          <w:highlight w:val="none"/>
        </w:rPr>
        <w:t>36.</w:t>
      </w:r>
      <w:r>
        <w:rPr>
          <w:rFonts w:hint="eastAsia" w:ascii="黑体" w:hAnsi="黑体"/>
          <w:b w:val="0"/>
          <w:color w:val="auto"/>
          <w:highlight w:val="none"/>
        </w:rPr>
        <w:t>无效投标</w:t>
      </w:r>
      <w:bookmarkEnd w:id="197"/>
      <w:bookmarkEnd w:id="198"/>
      <w:bookmarkEnd w:id="199"/>
      <w:bookmarkEnd w:id="200"/>
      <w:bookmarkEnd w:id="201"/>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36.1在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按照无效投标处理，但符合本文件第3</w:t>
      </w:r>
      <w:r>
        <w:rPr>
          <w:rFonts w:ascii="宋体" w:hAnsi="宋体"/>
          <w:bCs/>
          <w:color w:val="auto"/>
          <w:sz w:val="28"/>
          <w:szCs w:val="28"/>
          <w:highlight w:val="none"/>
        </w:rPr>
        <w:t>7</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未按照招标文件要求密封的；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不具备招标文件中规定的资格性要求的；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属于禁止参加投标供应商的；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未按照规定交纳投标保证金的；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按照无效投标处理，但符合本文件第3</w:t>
      </w:r>
      <w:r>
        <w:rPr>
          <w:rFonts w:ascii="宋体" w:hAnsi="宋体"/>
          <w:bCs/>
          <w:color w:val="auto"/>
          <w:sz w:val="28"/>
          <w:szCs w:val="28"/>
          <w:highlight w:val="none"/>
        </w:rPr>
        <w:t>7条规定的情形除外：</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未按照招标文件要求签署、盖章的；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投标有效期不符合招标文件要求的；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技术和商务的实质性条款不满足招标文件要求的；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（4）其他不满足招标文件载明的符合性要求的。</w:t>
      </w:r>
    </w:p>
    <w:p>
      <w:pPr>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36.3</w:t>
      </w:r>
      <w:r>
        <w:rPr>
          <w:rFonts w:hint="eastAsia" w:ascii="宋体" w:hAnsi="宋体"/>
          <w:color w:val="auto"/>
          <w:sz w:val="28"/>
          <w:szCs w:val="28"/>
          <w:highlight w:val="none"/>
        </w:rPr>
        <w:t>有下列情形之一的，属于投标供应商相互串通投标，按照无效投标处理：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）投标供应商之间约定中标供应商的；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）投标供应商之间约定部分放弃投标或中标的；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）同一集团成员的投标供应商按照该集团要求协同投标的；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）投标供应商之间为谋取中标或排斥特定投标供应商而采取其他联合行动的；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36.4</w:t>
      </w:r>
      <w:r>
        <w:rPr>
          <w:rFonts w:hint="eastAsia" w:ascii="宋体" w:hAnsi="宋体"/>
          <w:color w:val="auto"/>
          <w:sz w:val="28"/>
          <w:szCs w:val="28"/>
          <w:highlight w:val="none"/>
        </w:rPr>
        <w:t>有下列情形之一的，视为投标供应商相互串通投标，按照无效投标处理：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）不同投标供应商的投标文件由同一单位或个人编制的，以及投标使用同一加密锁或具有相同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）不同投标供应商委托同一单位或个人办理投标事宜的；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）不同投标供应商的投标文件载明的项目管理成员为同一人的；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）不同投标供应商的投标文件异常一致或投标呈规律性差异的；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）不同投标供应商的投标文件混装、签章混用的；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）不同投标供应商的投标保证金从同一单位或个人的账户转出的；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36.5</w:t>
      </w:r>
      <w:r>
        <w:rPr>
          <w:rFonts w:hint="eastAsia" w:ascii="宋体" w:hAnsi="宋体"/>
          <w:color w:val="auto"/>
          <w:sz w:val="28"/>
          <w:szCs w:val="28"/>
          <w:highlight w:val="none"/>
        </w:rPr>
        <w:t>有下列情形之一的，属于采购机构、采购单位与投标供应商串通投标，按照无效投标处理：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）在开标前开启投标文件并将有关信息泄露给其他投标供应商的；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）直接或间接向投标供应商泄露评审委员会成员信息的；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）明示或暗示投标供应商压低或抬高投标价格的；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）授意投标供应商撤换、修改投标文件的；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）明示或暗示投标供应商为特定投标供应商中标提供方便的；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）在开标前与投标供应商就采购项目进行实质性谈判的；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）与投标供应商为谋求特定投标供应商中标而采取其他串通行为的；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36.6</w:t>
      </w:r>
      <w:r>
        <w:rPr>
          <w:rFonts w:hint="eastAsia" w:ascii="宋体" w:hAnsi="宋体"/>
          <w:color w:val="auto"/>
          <w:sz w:val="28"/>
          <w:szCs w:val="28"/>
          <w:highlight w:val="none"/>
        </w:rPr>
        <w:t>有下列情形之一的，属于虚假投标，按照无效投标处理：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）提供虚假样品或借用、冒用其他投标供应商样品的；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36.7</w:t>
      </w:r>
      <w:r>
        <w:rPr>
          <w:rFonts w:hint="eastAsia" w:asciiTheme="minorEastAsia" w:hAnsiTheme="minorEastAsia" w:eastAsiaTheme="minorEastAsia"/>
          <w:color w:val="auto"/>
          <w:sz w:val="28"/>
          <w:szCs w:val="28"/>
          <w:highlight w:val="none"/>
        </w:rPr>
        <w:t>招标文件中明确的其他应当视为无效投标的情形。</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废标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38.1有下列情形之一的，按照废标处理：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报名参加或实质性响应投标供应商不足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39.</w:t>
      </w:r>
      <w:r>
        <w:rPr>
          <w:rFonts w:hint="eastAsia" w:ascii="黑体" w:hAnsi="黑体"/>
          <w:b w:val="0"/>
          <w:color w:val="auto"/>
          <w:highlight w:val="none"/>
        </w:rPr>
        <w:t>终止评审</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宋体" w:hAnsi="宋体"/>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招标文件存在明显的倾向性、排他性或歧视性的；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招标文件违反国家和军队强制性规定的；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cs="仿宋"/>
          <w:bCs/>
          <w:color w:val="auto"/>
          <w:sz w:val="28"/>
          <w:szCs w:val="28"/>
          <w:highlight w:val="none"/>
        </w:rPr>
        <w:t>参加投标供应商均不符合相关要求的；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cs="仿宋"/>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宋体" w:hAnsi="宋体"/>
          <w:bCs/>
          <w:color w:val="auto"/>
          <w:sz w:val="28"/>
          <w:szCs w:val="28"/>
          <w:highlight w:val="none"/>
        </w:rPr>
        <w:t>采购活动中出现违法、违规情形的；</w:t>
      </w:r>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宋体" w:hAnsi="宋体"/>
          <w:bCs/>
          <w:color w:val="auto"/>
          <w:sz w:val="28"/>
          <w:szCs w:val="28"/>
          <w:highlight w:val="none"/>
        </w:rPr>
        <w:t>国家和军队法律法规规定的其他情形。</w:t>
      </w:r>
      <w:bookmarkEnd w:id="202"/>
      <w:bookmarkEnd w:id="203"/>
      <w:bookmarkEnd w:id="204"/>
      <w:bookmarkEnd w:id="205"/>
      <w:bookmarkEnd w:id="206"/>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07" w:name="_Toc132398772"/>
      <w:bookmarkStart w:id="208" w:name="_Toc29135"/>
      <w:bookmarkStart w:id="209" w:name="_Toc112317772"/>
      <w:bookmarkStart w:id="210" w:name="_Toc13839"/>
      <w:bookmarkStart w:id="211" w:name="_Toc28979"/>
      <w:bookmarkStart w:id="212" w:name="_Toc121471691"/>
      <w:bookmarkStart w:id="213" w:name="_Toc128150125"/>
      <w:r>
        <w:rPr>
          <w:rFonts w:hint="eastAsia" w:ascii="黑体" w:hAnsi="黑体" w:eastAsia="黑体"/>
          <w:b w:val="0"/>
          <w:color w:val="auto"/>
          <w:highlight w:val="none"/>
        </w:rPr>
        <w:t>六、定标</w:t>
      </w:r>
      <w:bookmarkEnd w:id="207"/>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40.</w:t>
      </w:r>
      <w:r>
        <w:rPr>
          <w:rFonts w:hint="eastAsia" w:ascii="黑体" w:hAnsi="黑体"/>
          <w:b w:val="0"/>
          <w:color w:val="auto"/>
          <w:highlight w:val="none"/>
        </w:rPr>
        <w:t>中标供应商公示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rPr>
        <w:t>40.1</w:t>
      </w:r>
      <w:r>
        <w:rPr>
          <w:rFonts w:ascii="宋体" w:hAnsi="宋体"/>
          <w:bCs/>
          <w:snapToGrid w:val="0"/>
          <w:color w:val="auto"/>
          <w:sz w:val="28"/>
          <w:szCs w:val="28"/>
          <w:highlight w:val="none"/>
          <w:lang w:val="zh-CN"/>
        </w:rPr>
        <w:t>评审结束后</w:t>
      </w:r>
      <w:r>
        <w:rPr>
          <w:rFonts w:ascii="宋体" w:hAnsi="宋体"/>
          <w:bCs/>
          <w:snapToGrid w:val="0"/>
          <w:color w:val="auto"/>
          <w:sz w:val="28"/>
          <w:szCs w:val="28"/>
          <w:highlight w:val="none"/>
        </w:rPr>
        <w:t>2</w:t>
      </w:r>
      <w:r>
        <w:rPr>
          <w:rFonts w:ascii="宋体" w:hAnsi="宋体"/>
          <w:bCs/>
          <w:snapToGrid w:val="0"/>
          <w:color w:val="auto"/>
          <w:sz w:val="28"/>
          <w:szCs w:val="28"/>
          <w:highlight w:val="none"/>
          <w:lang w:val="zh-CN"/>
        </w:rPr>
        <w:t>个工作日内</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采购机构在</w:t>
      </w:r>
      <w:r>
        <w:rPr>
          <w:rFonts w:ascii="宋体" w:hAnsi="宋体"/>
          <w:bCs/>
          <w:color w:val="auto"/>
          <w:sz w:val="28"/>
          <w:szCs w:val="28"/>
          <w:highlight w:val="none"/>
        </w:rPr>
        <w:t>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snapToGrid w:val="0"/>
          <w:color w:val="auto"/>
          <w:sz w:val="28"/>
          <w:szCs w:val="28"/>
          <w:highlight w:val="none"/>
          <w:lang w:val="zh-CN"/>
        </w:rPr>
        <w:t>上公示评审结果</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公示期</w:t>
      </w:r>
      <w:r>
        <w:rPr>
          <w:rFonts w:hint="eastAsia" w:ascii="宋体" w:hAnsi="宋体"/>
          <w:bCs/>
          <w:snapToGrid w:val="0"/>
          <w:color w:val="auto"/>
          <w:sz w:val="28"/>
          <w:szCs w:val="28"/>
          <w:highlight w:val="none"/>
          <w:lang w:val="zh-CN"/>
        </w:rPr>
        <w:t>不少于</w:t>
      </w:r>
      <w:r>
        <w:rPr>
          <w:rFonts w:ascii="宋体" w:hAnsi="宋体"/>
          <w:bCs/>
          <w:snapToGrid w:val="0"/>
          <w:color w:val="auto"/>
          <w:sz w:val="28"/>
          <w:szCs w:val="28"/>
          <w:highlight w:val="none"/>
        </w:rPr>
        <w:t>3</w:t>
      </w:r>
      <w:r>
        <w:rPr>
          <w:rFonts w:ascii="宋体" w:hAnsi="宋体"/>
          <w:bCs/>
          <w:snapToGrid w:val="0"/>
          <w:color w:val="auto"/>
          <w:sz w:val="28"/>
          <w:szCs w:val="28"/>
          <w:highlight w:val="none"/>
          <w:lang w:val="zh-CN"/>
        </w:rPr>
        <w:t>个工作日。在公示期内无异议的，</w:t>
      </w:r>
      <w:r>
        <w:rPr>
          <w:rFonts w:hint="eastAsia" w:ascii="宋体" w:hAnsi="宋体"/>
          <w:bCs/>
          <w:snapToGrid w:val="0"/>
          <w:color w:val="auto"/>
          <w:sz w:val="28"/>
          <w:szCs w:val="28"/>
          <w:highlight w:val="none"/>
          <w:lang w:val="zh-CN"/>
        </w:rPr>
        <w:t>采购机构将评审结果报采购单位；有异议的，</w:t>
      </w:r>
      <w:r>
        <w:rPr>
          <w:rFonts w:hint="eastAsia" w:ascii="宋体" w:hAnsi="宋体"/>
          <w:bCs/>
          <w:color w:val="auto"/>
          <w:sz w:val="28"/>
          <w:szCs w:val="28"/>
          <w:highlight w:val="none"/>
        </w:rPr>
        <w:t>投标供应商可以</w:t>
      </w:r>
      <w:r>
        <w:rPr>
          <w:rFonts w:hint="eastAsia" w:ascii="宋体" w:hAnsi="宋体"/>
          <w:bCs/>
          <w:snapToGrid w:val="0"/>
          <w:color w:val="auto"/>
          <w:sz w:val="28"/>
          <w:szCs w:val="28"/>
          <w:highlight w:val="none"/>
          <w:lang w:val="zh-CN"/>
        </w:rPr>
        <w:t>依据招标文件规定的方式提出质疑。</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40.2</w:t>
      </w:r>
      <w:r>
        <w:rPr>
          <w:rFonts w:hint="eastAsia" w:ascii="宋体" w:hAnsi="宋体"/>
          <w:bCs/>
          <w:snapToGrid w:val="0"/>
          <w:color w:val="auto"/>
          <w:sz w:val="28"/>
          <w:szCs w:val="28"/>
          <w:highlight w:val="none"/>
          <w:lang w:val="zh-CN"/>
        </w:rPr>
        <w:t>中标供应商</w:t>
      </w:r>
      <w:r>
        <w:rPr>
          <w:rFonts w:ascii="宋体" w:hAnsi="宋体"/>
          <w:bCs/>
          <w:snapToGrid w:val="0"/>
          <w:color w:val="auto"/>
          <w:sz w:val="28"/>
          <w:szCs w:val="28"/>
          <w:highlight w:val="none"/>
          <w:lang w:val="zh-CN"/>
        </w:rPr>
        <w:t>无正当理由放弃中标的，不予退还投标保证金，</w:t>
      </w:r>
      <w:r>
        <w:rPr>
          <w:rFonts w:hint="eastAsia" w:ascii="宋体" w:hAnsi="宋体"/>
          <w:bCs/>
          <w:snapToGrid w:val="0"/>
          <w:color w:val="auto"/>
          <w:sz w:val="28"/>
          <w:szCs w:val="28"/>
          <w:highlight w:val="none"/>
          <w:lang w:val="zh-CN"/>
        </w:rPr>
        <w:t>由采购管理部门依规处理。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40.3中标供应</w:t>
      </w:r>
      <w:r>
        <w:rPr>
          <w:rFonts w:hint="eastAsia" w:ascii="宋体" w:hAnsi="宋体"/>
          <w:bCs/>
          <w:snapToGrid w:val="0"/>
          <w:color w:val="auto"/>
          <w:sz w:val="28"/>
          <w:szCs w:val="28"/>
          <w:highlight w:val="none"/>
          <w:lang w:val="zh-CN"/>
        </w:rPr>
        <w:t>商出现下列情况之一的，一经查实，将被取消中标资格：</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 xml:space="preserve">（1）属于招标文件规定的虚假投标的； </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（2）向采购单位、采购机构、评审委员会成员行贿或进行其他不正当利益输送的；</w:t>
      </w:r>
      <w:bookmarkStart w:id="428" w:name="_GoBack"/>
      <w:bookmarkEnd w:id="42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（3）属于恶意低价竞争，投标明显低于合理成本且不能证明其报价合理的；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（4）属于招标文件规定的无效投标情形，但在评审过程中未被评审委员会发现的；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（5）属于招标文件规定的串通投标的；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（6）出现干扰或影响评审客观公正行为的；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（7）存在其他违法违规行为的；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（8）国家和军队法律法规规定的其他情形。</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41.</w:t>
      </w:r>
      <w:r>
        <w:rPr>
          <w:rFonts w:hint="eastAsia" w:ascii="黑体" w:hAnsi="黑体"/>
          <w:b w:val="0"/>
          <w:color w:val="auto"/>
          <w:highlight w:val="none"/>
        </w:rPr>
        <w:t>中标通知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41.1</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14" w:name="_Toc132398773"/>
      <w:r>
        <w:rPr>
          <w:rFonts w:hint="eastAsia" w:ascii="黑体" w:hAnsi="黑体" w:eastAsia="黑体"/>
          <w:b w:val="0"/>
          <w:color w:val="auto"/>
          <w:highlight w:val="none"/>
        </w:rPr>
        <w:t>七、质疑、投诉和投诉复议</w:t>
      </w:r>
      <w:bookmarkEnd w:id="208"/>
      <w:bookmarkEnd w:id="209"/>
      <w:bookmarkEnd w:id="210"/>
      <w:bookmarkEnd w:id="211"/>
      <w:bookmarkEnd w:id="212"/>
      <w:bookmarkEnd w:id="213"/>
      <w:bookmarkEnd w:id="214"/>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5" w:name="_Toc30863"/>
      <w:bookmarkStart w:id="216" w:name="_Toc121471692"/>
      <w:bookmarkStart w:id="217" w:name="_Toc17098"/>
      <w:bookmarkStart w:id="218" w:name="_Toc25594"/>
      <w:r>
        <w:rPr>
          <w:rFonts w:ascii="黑体" w:hAnsi="黑体"/>
          <w:b w:val="0"/>
          <w:color w:val="auto"/>
          <w:highlight w:val="none"/>
        </w:rPr>
        <w:t>42.</w:t>
      </w:r>
      <w:r>
        <w:rPr>
          <w:rFonts w:hint="eastAsia" w:ascii="黑体" w:hAnsi="黑体"/>
          <w:b w:val="0"/>
          <w:color w:val="auto"/>
          <w:highlight w:val="none"/>
        </w:rPr>
        <w:t>质疑</w:t>
      </w:r>
      <w:bookmarkEnd w:id="215"/>
      <w:bookmarkEnd w:id="216"/>
      <w:bookmarkEnd w:id="217"/>
      <w:bookmarkEnd w:id="218"/>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42.1供应商认为</w:t>
      </w:r>
      <w:r>
        <w:rPr>
          <w:rFonts w:hint="eastAsia" w:ascii="宋体" w:hAnsi="宋体"/>
          <w:bCs/>
          <w:snapToGrid w:val="0"/>
          <w:color w:val="auto"/>
          <w:sz w:val="28"/>
          <w:szCs w:val="28"/>
          <w:highlight w:val="none"/>
          <w:lang w:val="zh-CN"/>
        </w:rPr>
        <w:t>招标文件、招标过程、中标结果使自己权益受到损害的，以书面形式向采购机构提出质疑。</w:t>
      </w:r>
      <w:r>
        <w:rPr>
          <w:rFonts w:hint="eastAsia" w:ascii="宋体" w:hAnsi="宋体"/>
          <w:bCs/>
          <w:color w:val="auto"/>
          <w:sz w:val="28"/>
          <w:szCs w:val="28"/>
          <w:highlight w:val="none"/>
        </w:rPr>
        <w:t>供应商应当在规定质疑期内一次性提出针对同一采购程序环节的质疑。</w:t>
      </w:r>
    </w:p>
    <w:p>
      <w:pPr>
        <w:pStyle w:val="17"/>
        <w:spacing w:after="0" w:line="560" w:lineRule="exact"/>
        <w:ind w:firstLine="560" w:firstLineChars="200"/>
        <w:rPr>
          <w:color w:val="auto"/>
          <w:highlight w:val="none"/>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snapToGrid w:val="0"/>
          <w:color w:val="auto"/>
          <w:sz w:val="28"/>
          <w:szCs w:val="28"/>
          <w:highlight w:val="none"/>
          <w:lang w:val="zh-CN"/>
        </w:rPr>
        <w:t>对招标文件的质疑应当在</w:t>
      </w:r>
      <w:r>
        <w:rPr>
          <w:rFonts w:hint="eastAsia" w:ascii="宋体" w:hAnsi="宋体"/>
          <w:bCs/>
          <w:snapToGrid w:val="0"/>
          <w:color w:val="auto"/>
          <w:sz w:val="28"/>
          <w:szCs w:val="28"/>
          <w:highlight w:val="none"/>
          <w:lang w:val="zh-CN"/>
        </w:rPr>
        <w:t>投标截止时间</w:t>
      </w:r>
      <w:r>
        <w:rPr>
          <w:rFonts w:ascii="宋体" w:hAnsi="宋体"/>
          <w:bCs/>
          <w:snapToGrid w:val="0"/>
          <w:color w:val="auto"/>
          <w:sz w:val="28"/>
          <w:szCs w:val="28"/>
          <w:highlight w:val="none"/>
          <w:lang w:val="zh-CN"/>
        </w:rPr>
        <w:t>10日前提出。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对招标过程提出质疑的，应当在各采购程序环节结束之日起3日内提出，但对开标的质疑应当在当场提出，质疑受理单位应当当场</w:t>
      </w:r>
      <w:r>
        <w:rPr>
          <w:rFonts w:hint="eastAsia" w:ascii="宋体" w:hAnsi="宋体" w:cs="仿宋"/>
          <w:bCs/>
          <w:color w:val="auto"/>
          <w:sz w:val="28"/>
          <w:szCs w:val="28"/>
          <w:highlight w:val="none"/>
        </w:rPr>
        <w:t>作</w:t>
      </w:r>
      <w:r>
        <w:rPr>
          <w:rFonts w:hint="eastAsia" w:ascii="宋体" w:hAnsi="宋体"/>
          <w:bCs/>
          <w:snapToGrid w:val="0"/>
          <w:color w:val="auto"/>
          <w:sz w:val="28"/>
          <w:szCs w:val="28"/>
          <w:highlight w:val="none"/>
          <w:lang w:val="zh-CN"/>
        </w:rPr>
        <w:t>出答复，并如实记录。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对中标结果提出质疑的，应当在中标结果公示期内提出。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42.2</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供应商应当按照</w:t>
      </w:r>
      <w:r>
        <w:rPr>
          <w:rFonts w:hint="eastAsia" w:ascii="宋体" w:hAnsi="宋体"/>
          <w:bCs/>
          <w:snapToGrid w:val="0"/>
          <w:color w:val="auto"/>
          <w:sz w:val="28"/>
          <w:szCs w:val="28"/>
          <w:highlight w:val="none"/>
          <w:lang w:val="zh-CN"/>
        </w:rPr>
        <w:t>招标文件规定</w:t>
      </w:r>
      <w:r>
        <w:rPr>
          <w:rFonts w:ascii="宋体" w:hAnsi="宋体"/>
          <w:bCs/>
          <w:snapToGrid w:val="0"/>
          <w:color w:val="auto"/>
          <w:sz w:val="28"/>
          <w:szCs w:val="28"/>
          <w:highlight w:val="none"/>
          <w:lang w:val="zh-CN"/>
        </w:rPr>
        <w:t>的程序和渠道</w:t>
      </w:r>
      <w:r>
        <w:rPr>
          <w:rFonts w:hint="eastAsia" w:ascii="宋体" w:hAnsi="宋体"/>
          <w:bCs/>
          <w:snapToGrid w:val="0"/>
          <w:color w:val="auto"/>
          <w:sz w:val="28"/>
          <w:szCs w:val="28"/>
          <w:highlight w:val="none"/>
          <w:lang w:val="zh-CN"/>
        </w:rPr>
        <w:t>提出质疑</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质疑函</w:t>
      </w:r>
      <w:r>
        <w:rPr>
          <w:rFonts w:ascii="宋体" w:hAnsi="宋体"/>
          <w:bCs/>
          <w:snapToGrid w:val="0"/>
          <w:color w:val="auto"/>
          <w:sz w:val="28"/>
          <w:szCs w:val="28"/>
          <w:highlight w:val="none"/>
          <w:lang w:val="zh-CN"/>
        </w:rPr>
        <w:t>主要包括下列内容：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供应商名称、通讯地址、联系人及联系电话；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2）质疑采购项目的名称、编号；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3）具体质疑事项和请求；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6）提出质疑的日期。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42.3质疑</w:t>
      </w:r>
      <w:r>
        <w:rPr>
          <w:rFonts w:hint="eastAsia" w:ascii="宋体" w:hAnsi="宋体"/>
          <w:bCs/>
          <w:snapToGrid w:val="0"/>
          <w:color w:val="auto"/>
          <w:sz w:val="28"/>
          <w:szCs w:val="28"/>
          <w:highlight w:val="none"/>
          <w:lang w:val="zh-CN"/>
        </w:rPr>
        <w:t>函应当由法定代表人（签字或盖章）或授权代表（签字），并加盖公章。授权代表应当提供由法定代表人签署的授权书，载明被授权人的姓名、职务、授权范围和时间期限，并加盖公章。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42.4</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及</w:t>
      </w:r>
      <w:r>
        <w:rPr>
          <w:rFonts w:ascii="宋体" w:hAnsi="宋体"/>
          <w:bCs/>
          <w:snapToGrid w:val="0"/>
          <w:color w:val="auto"/>
          <w:sz w:val="28"/>
          <w:szCs w:val="28"/>
          <w:highlight w:val="none"/>
          <w:lang w:val="zh-CN"/>
        </w:rPr>
        <w:t>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9" w:name="_Toc8001"/>
      <w:bookmarkStart w:id="220" w:name="_Toc12511"/>
      <w:bookmarkStart w:id="221" w:name="_Toc3626"/>
      <w:bookmarkStart w:id="222" w:name="_Toc121471693"/>
      <w:r>
        <w:rPr>
          <w:rFonts w:ascii="黑体" w:hAnsi="黑体"/>
          <w:b w:val="0"/>
          <w:color w:val="auto"/>
          <w:highlight w:val="none"/>
        </w:rPr>
        <w:t>43.</w:t>
      </w:r>
      <w:r>
        <w:rPr>
          <w:rFonts w:hint="eastAsia" w:ascii="黑体" w:hAnsi="黑体"/>
          <w:b w:val="0"/>
          <w:color w:val="auto"/>
          <w:highlight w:val="none"/>
        </w:rPr>
        <w:t>投诉</w:t>
      </w:r>
      <w:bookmarkEnd w:id="219"/>
      <w:bookmarkEnd w:id="220"/>
      <w:bookmarkEnd w:id="221"/>
      <w:bookmarkEnd w:id="22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43.1</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拒收质疑</w:t>
      </w:r>
      <w:r>
        <w:rPr>
          <w:rFonts w:ascii="宋体" w:hAnsi="宋体"/>
          <w:bCs/>
          <w:snapToGrid w:val="0"/>
          <w:color w:val="auto"/>
          <w:sz w:val="28"/>
          <w:szCs w:val="28"/>
          <w:highlight w:val="none"/>
          <w:lang w:val="zh-CN"/>
        </w:rPr>
        <w:t>函或</w:t>
      </w:r>
      <w:r>
        <w:rPr>
          <w:rFonts w:hint="eastAsia" w:ascii="宋体" w:hAnsi="宋体"/>
          <w:bCs/>
          <w:snapToGrid w:val="0"/>
          <w:color w:val="auto"/>
          <w:sz w:val="28"/>
          <w:szCs w:val="28"/>
          <w:highlight w:val="none"/>
          <w:lang w:val="zh-CN"/>
        </w:rPr>
        <w:t>未</w:t>
      </w:r>
      <w:r>
        <w:rPr>
          <w:rFonts w:ascii="宋体" w:hAnsi="宋体"/>
          <w:bCs/>
          <w:snapToGrid w:val="0"/>
          <w:color w:val="auto"/>
          <w:sz w:val="28"/>
          <w:szCs w:val="28"/>
          <w:highlight w:val="none"/>
          <w:lang w:val="zh-CN"/>
        </w:rPr>
        <w:t>在规定期限内</w:t>
      </w:r>
      <w:r>
        <w:rPr>
          <w:rFonts w:hint="eastAsia" w:ascii="宋体" w:hAnsi="宋体" w:cs="仿宋"/>
          <w:bCs/>
          <w:color w:val="auto"/>
          <w:sz w:val="28"/>
          <w:szCs w:val="28"/>
          <w:highlight w:val="none"/>
        </w:rPr>
        <w:t>作</w:t>
      </w:r>
      <w:r>
        <w:rPr>
          <w:rFonts w:ascii="宋体" w:hAnsi="宋体"/>
          <w:bCs/>
          <w:snapToGrid w:val="0"/>
          <w:color w:val="auto"/>
          <w:sz w:val="28"/>
          <w:szCs w:val="28"/>
          <w:highlight w:val="none"/>
          <w:lang w:val="zh-CN"/>
        </w:rPr>
        <w:t>出答复</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以及对</w:t>
      </w:r>
      <w:r>
        <w:rPr>
          <w:rFonts w:hint="eastAsia" w:ascii="宋体" w:hAnsi="宋体"/>
          <w:bCs/>
          <w:snapToGrid w:val="0"/>
          <w:color w:val="auto"/>
          <w:sz w:val="28"/>
          <w:szCs w:val="28"/>
          <w:highlight w:val="none"/>
          <w:lang w:val="zh-CN"/>
        </w:rPr>
        <w:t>质疑</w:t>
      </w:r>
      <w:r>
        <w:rPr>
          <w:rFonts w:ascii="宋体" w:hAnsi="宋体"/>
          <w:bCs/>
          <w:snapToGrid w:val="0"/>
          <w:color w:val="auto"/>
          <w:sz w:val="28"/>
          <w:szCs w:val="28"/>
          <w:highlight w:val="none"/>
          <w:lang w:val="zh-CN"/>
        </w:rPr>
        <w:t>答复及处理结果不满意的，质疑</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可以在质疑答复期满之日起15个工作日内，向</w:t>
      </w:r>
      <w:r>
        <w:rPr>
          <w:rFonts w:hint="eastAsia" w:ascii="宋体" w:hAnsi="宋体"/>
          <w:bCs/>
          <w:snapToGrid w:val="0"/>
          <w:color w:val="auto"/>
          <w:sz w:val="28"/>
          <w:szCs w:val="28"/>
          <w:highlight w:val="none"/>
          <w:lang w:val="zh-CN"/>
        </w:rPr>
        <w:t>投诉受理部门</w:t>
      </w:r>
      <w:r>
        <w:rPr>
          <w:rFonts w:ascii="宋体" w:hAnsi="宋体"/>
          <w:bCs/>
          <w:snapToGrid w:val="0"/>
          <w:color w:val="auto"/>
          <w:sz w:val="28"/>
          <w:szCs w:val="28"/>
          <w:highlight w:val="none"/>
          <w:lang w:val="zh-CN"/>
        </w:rPr>
        <w:t>提出</w:t>
      </w:r>
      <w:r>
        <w:rPr>
          <w:rFonts w:hint="eastAsia" w:ascii="宋体" w:hAnsi="宋体"/>
          <w:bCs/>
          <w:snapToGrid w:val="0"/>
          <w:color w:val="auto"/>
          <w:sz w:val="28"/>
          <w:szCs w:val="28"/>
          <w:highlight w:val="none"/>
          <w:lang w:val="zh-CN"/>
        </w:rPr>
        <w:t>书面</w:t>
      </w:r>
      <w:r>
        <w:rPr>
          <w:rFonts w:ascii="宋体" w:hAnsi="宋体"/>
          <w:bCs/>
          <w:snapToGrid w:val="0"/>
          <w:color w:val="auto"/>
          <w:sz w:val="28"/>
          <w:szCs w:val="28"/>
          <w:highlight w:val="none"/>
          <w:lang w:val="zh-CN"/>
        </w:rPr>
        <w:t>投诉。</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43.2</w:t>
      </w:r>
      <w:r>
        <w:rPr>
          <w:rFonts w:hint="eastAsia" w:ascii="宋体" w:hAnsi="宋体"/>
          <w:bCs/>
          <w:snapToGrid w:val="0"/>
          <w:color w:val="auto"/>
          <w:sz w:val="28"/>
          <w:szCs w:val="28"/>
          <w:highlight w:val="none"/>
          <w:lang w:val="zh-CN"/>
        </w:rPr>
        <w:t>投诉人投诉时，应当提交投诉书正本和必要的证明材料，并按照被投诉人和与投诉事项有关的供应商数量提供投诉书副本。投诉书应当包括下列内容：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投诉人和被投诉人的名称、通讯地址、</w:t>
      </w:r>
      <w:r>
        <w:rPr>
          <w:rFonts w:hint="eastAsia" w:ascii="宋体" w:hAnsi="宋体" w:cs="宋体"/>
          <w:bCs/>
          <w:color w:val="auto"/>
          <w:sz w:val="28"/>
          <w:szCs w:val="36"/>
          <w:highlight w:val="none"/>
        </w:rPr>
        <w:t>邮编、</w:t>
      </w:r>
      <w:r>
        <w:rPr>
          <w:rFonts w:hint="eastAsia" w:ascii="宋体" w:hAnsi="宋体"/>
          <w:bCs/>
          <w:snapToGrid w:val="0"/>
          <w:color w:val="auto"/>
          <w:sz w:val="28"/>
          <w:szCs w:val="28"/>
          <w:highlight w:val="none"/>
          <w:lang w:val="zh-CN"/>
        </w:rPr>
        <w:t>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质疑和质疑答复情况说明及相关证明材料；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具体、明确的投诉事项和与投诉事项相关的投诉请求；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提起投诉的日期。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43.3</w:t>
      </w:r>
      <w:r>
        <w:rPr>
          <w:rFonts w:hint="eastAsia" w:ascii="宋体" w:hAnsi="宋体"/>
          <w:bCs/>
          <w:snapToGrid w:val="0"/>
          <w:color w:val="auto"/>
          <w:sz w:val="28"/>
          <w:szCs w:val="28"/>
          <w:highlight w:val="none"/>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43.4受理、处理</w:t>
      </w:r>
      <w:r>
        <w:rPr>
          <w:rFonts w:hint="eastAsia" w:ascii="宋体" w:hAnsi="宋体"/>
          <w:bCs/>
          <w:snapToGrid w:val="0"/>
          <w:color w:val="auto"/>
          <w:sz w:val="28"/>
          <w:szCs w:val="28"/>
          <w:highlight w:val="none"/>
          <w:lang w:val="zh-CN"/>
        </w:rPr>
        <w:t>投诉申请部门</w:t>
      </w:r>
      <w:r>
        <w:rPr>
          <w:rFonts w:ascii="宋体" w:hAnsi="宋体"/>
          <w:bCs/>
          <w:snapToGrid w:val="0"/>
          <w:color w:val="auto"/>
          <w:sz w:val="28"/>
          <w:szCs w:val="28"/>
          <w:highlight w:val="none"/>
          <w:lang w:val="zh-CN"/>
        </w:rPr>
        <w:t>及联系方式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3" w:name="_Toc121471694"/>
      <w:bookmarkStart w:id="224" w:name="_Toc12983"/>
      <w:bookmarkStart w:id="225" w:name="_Toc16597"/>
      <w:bookmarkStart w:id="226" w:name="_Toc31796"/>
      <w:r>
        <w:rPr>
          <w:rFonts w:ascii="黑体" w:hAnsi="黑体"/>
          <w:b w:val="0"/>
          <w:color w:val="auto"/>
          <w:highlight w:val="none"/>
        </w:rPr>
        <w:t>44.</w:t>
      </w:r>
      <w:r>
        <w:rPr>
          <w:rFonts w:hint="eastAsia" w:ascii="黑体" w:hAnsi="黑体"/>
          <w:b w:val="0"/>
          <w:color w:val="auto"/>
          <w:highlight w:val="none"/>
        </w:rPr>
        <w:t>投诉复议</w:t>
      </w:r>
      <w:bookmarkEnd w:id="223"/>
      <w:bookmarkEnd w:id="224"/>
      <w:bookmarkEnd w:id="225"/>
      <w:bookmarkEnd w:id="22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44.1</w:t>
      </w:r>
      <w:r>
        <w:rPr>
          <w:rFonts w:hint="eastAsia" w:ascii="宋体" w:hAnsi="宋体"/>
          <w:bCs/>
          <w:snapToGrid w:val="0"/>
          <w:color w:val="auto"/>
          <w:sz w:val="28"/>
          <w:szCs w:val="28"/>
          <w:highlight w:val="none"/>
          <w:lang w:val="zh-CN"/>
        </w:rPr>
        <w:t>投诉人对</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的投诉处理决定不服或</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44.2</w:t>
      </w:r>
      <w:r>
        <w:rPr>
          <w:rFonts w:hint="eastAsia" w:ascii="宋体" w:hAnsi="宋体"/>
          <w:bCs/>
          <w:snapToGrid w:val="0"/>
          <w:color w:val="auto"/>
          <w:sz w:val="28"/>
          <w:szCs w:val="28"/>
          <w:highlight w:val="none"/>
          <w:lang w:val="zh-CN"/>
        </w:rPr>
        <w:t>投诉复议申请人应当提交投诉复议申请书和必要的证明材料，并按照被申请人和与复议事项有关当事人数量提供申请书副本。投诉复议申请书应当包括下列内容：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申请人和被申请人名称、通讯地址、联系人、联系电话；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投诉和投诉处理决定情况说明及相关证明材料；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申请投诉复议的日期。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44.3</w:t>
      </w:r>
      <w:r>
        <w:rPr>
          <w:rFonts w:hint="eastAsia" w:ascii="宋体" w:hAnsi="宋体"/>
          <w:bCs/>
          <w:snapToGrid w:val="0"/>
          <w:color w:val="auto"/>
          <w:sz w:val="28"/>
          <w:szCs w:val="28"/>
          <w:highlight w:val="none"/>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44.4</w:t>
      </w:r>
      <w:r>
        <w:rPr>
          <w:rFonts w:hint="eastAsia" w:ascii="宋体" w:hAnsi="宋体"/>
          <w:bCs/>
          <w:snapToGrid w:val="0"/>
          <w:color w:val="auto"/>
          <w:sz w:val="28"/>
          <w:szCs w:val="28"/>
          <w:highlight w:val="none"/>
          <w:lang w:val="zh-CN"/>
        </w:rPr>
        <w:t>受理、处理投诉复议申请部门及联系方式见【投标供应商须知前附表】。</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27" w:name="_Toc32495"/>
      <w:bookmarkStart w:id="228" w:name="_Toc128150127"/>
      <w:bookmarkStart w:id="229" w:name="_Toc31345"/>
      <w:bookmarkStart w:id="230" w:name="_Toc121471698"/>
      <w:bookmarkStart w:id="231" w:name="_Toc25772"/>
      <w:bookmarkStart w:id="232" w:name="_Toc132398774"/>
      <w:bookmarkStart w:id="233" w:name="_Toc112317774"/>
      <w:r>
        <w:rPr>
          <w:rFonts w:hint="eastAsia" w:ascii="黑体" w:hAnsi="黑体" w:eastAsia="黑体"/>
          <w:b w:val="0"/>
          <w:color w:val="auto"/>
          <w:highlight w:val="none"/>
        </w:rPr>
        <w:t>八、签订合同</w:t>
      </w:r>
      <w:bookmarkEnd w:id="227"/>
      <w:bookmarkEnd w:id="228"/>
      <w:bookmarkEnd w:id="229"/>
      <w:bookmarkEnd w:id="230"/>
      <w:bookmarkEnd w:id="231"/>
      <w:bookmarkEnd w:id="232"/>
      <w:bookmarkEnd w:id="233"/>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4" w:name="_Toc24548"/>
      <w:bookmarkStart w:id="235" w:name="_Toc121471699"/>
      <w:bookmarkStart w:id="236" w:name="_Toc24282"/>
      <w:bookmarkStart w:id="237" w:name="_Toc2243"/>
      <w:r>
        <w:rPr>
          <w:rFonts w:ascii="黑体" w:hAnsi="黑体"/>
          <w:b w:val="0"/>
          <w:color w:val="auto"/>
          <w:highlight w:val="none"/>
        </w:rPr>
        <w:t>45.</w:t>
      </w:r>
      <w:r>
        <w:rPr>
          <w:rFonts w:hint="eastAsia" w:ascii="黑体" w:hAnsi="黑体"/>
          <w:b w:val="0"/>
          <w:color w:val="auto"/>
          <w:highlight w:val="none"/>
        </w:rPr>
        <w:t>签订合同</w:t>
      </w:r>
      <w:bookmarkEnd w:id="234"/>
      <w:bookmarkEnd w:id="235"/>
      <w:bookmarkEnd w:id="236"/>
      <w:bookmarkEnd w:id="23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45.1中标供应商在采购机构发出《中标通知书》之日起30日内，</w:t>
      </w:r>
      <w:r>
        <w:rPr>
          <w:rFonts w:hint="eastAsia" w:ascii="宋体" w:hAnsi="宋体"/>
          <w:bCs/>
          <w:snapToGrid w:val="0"/>
          <w:color w:val="auto"/>
          <w:sz w:val="28"/>
          <w:szCs w:val="28"/>
          <w:highlight w:val="none"/>
          <w:lang w:val="zh-CN"/>
        </w:rPr>
        <w:t>依据招标文件、中标供应商投标文件和澄清承诺，与采购单位签订采购合同</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45.2采购合同不得对招标文件和中标供应商投标文件作实质性修改</w:t>
      </w:r>
      <w:r>
        <w:rPr>
          <w:rFonts w:hint="eastAsia" w:ascii="宋体" w:hAnsi="宋体"/>
          <w:bCs/>
          <w:snapToGrid w:val="0"/>
          <w:color w:val="auto"/>
          <w:sz w:val="28"/>
          <w:szCs w:val="28"/>
          <w:highlight w:val="none"/>
          <w:lang w:val="zh-CN"/>
        </w:rPr>
        <w:t>，采购单位不得向中标供应商提出任何不合理要求，作为签订合同的条件。</w:t>
      </w:r>
      <w:r>
        <w:rPr>
          <w:rFonts w:ascii="宋体" w:hAnsi="宋体"/>
          <w:bCs/>
          <w:snapToGrid w:val="0"/>
          <w:color w:val="auto"/>
          <w:sz w:val="28"/>
          <w:szCs w:val="28"/>
          <w:highlight w:val="none"/>
          <w:lang w:val="zh-CN"/>
        </w:rPr>
        <w:t>招标文件、中标供应商投标文件、补充</w:t>
      </w:r>
      <w:r>
        <w:rPr>
          <w:rFonts w:hint="eastAsia" w:ascii="宋体" w:hAnsi="宋体"/>
          <w:bCs/>
          <w:snapToGrid w:val="0"/>
          <w:color w:val="auto"/>
          <w:sz w:val="28"/>
          <w:szCs w:val="28"/>
          <w:highlight w:val="none"/>
          <w:lang w:val="zh-CN"/>
        </w:rPr>
        <w:t>文件、</w:t>
      </w:r>
      <w:r>
        <w:rPr>
          <w:rFonts w:ascii="宋体" w:hAnsi="宋体"/>
          <w:bCs/>
          <w:snapToGrid w:val="0"/>
          <w:color w:val="auto"/>
          <w:sz w:val="28"/>
          <w:szCs w:val="28"/>
          <w:highlight w:val="none"/>
          <w:lang w:val="zh-CN"/>
        </w:rPr>
        <w:t>澄清承诺等，均为签订合同的依据。</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45.3</w:t>
      </w:r>
      <w:r>
        <w:rPr>
          <w:rFonts w:ascii="宋体" w:hAnsi="宋体"/>
          <w:bCs/>
          <w:color w:val="auto"/>
          <w:sz w:val="28"/>
          <w:szCs w:val="28"/>
          <w:highlight w:val="none"/>
        </w:rPr>
        <w:t>签订合同后，中标供应商不得将中标项目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违反招标</w:t>
      </w:r>
      <w:r>
        <w:rPr>
          <w:rFonts w:hint="eastAsia" w:ascii="宋体" w:hAnsi="宋体"/>
          <w:bCs/>
          <w:color w:val="auto"/>
          <w:sz w:val="28"/>
          <w:szCs w:val="28"/>
          <w:highlight w:val="none"/>
        </w:rPr>
        <w:t>文件</w:t>
      </w:r>
      <w:r>
        <w:rPr>
          <w:rFonts w:ascii="宋体" w:hAnsi="宋体"/>
          <w:bCs/>
          <w:color w:val="auto"/>
          <w:sz w:val="28"/>
          <w:szCs w:val="28"/>
          <w:highlight w:val="none"/>
        </w:rPr>
        <w:t>、</w:t>
      </w:r>
      <w:r>
        <w:rPr>
          <w:rFonts w:hint="eastAsia" w:ascii="宋体" w:hAnsi="宋体"/>
          <w:bCs/>
          <w:color w:val="auto"/>
          <w:sz w:val="28"/>
          <w:szCs w:val="28"/>
          <w:highlight w:val="none"/>
        </w:rPr>
        <w:t>投标</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pStyle w:val="17"/>
        <w:spacing w:after="0" w:line="560" w:lineRule="exact"/>
        <w:ind w:firstLine="560" w:firstLineChars="200"/>
        <w:rPr>
          <w:color w:val="auto"/>
          <w:highlight w:val="none"/>
        </w:rPr>
      </w:pPr>
      <w:r>
        <w:rPr>
          <w:rFonts w:ascii="宋体" w:hAnsi="宋体"/>
          <w:bCs/>
          <w:color w:val="auto"/>
          <w:sz w:val="28"/>
          <w:szCs w:val="28"/>
          <w:highlight w:val="none"/>
        </w:rPr>
        <w:t>45.4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38" w:name="_Toc2290"/>
      <w:bookmarkStart w:id="239" w:name="_Toc7283"/>
      <w:bookmarkStart w:id="240" w:name="_Toc121471700"/>
      <w:bookmarkStart w:id="241" w:name="_Toc21919"/>
      <w:bookmarkStart w:id="242" w:name="_Toc128150128"/>
      <w:bookmarkStart w:id="243" w:name="_Toc132398775"/>
      <w:bookmarkStart w:id="244" w:name="_Toc112317776"/>
      <w:r>
        <w:rPr>
          <w:rFonts w:hint="eastAsia" w:ascii="黑体" w:hAnsi="黑体" w:eastAsia="黑体"/>
          <w:b w:val="0"/>
          <w:color w:val="auto"/>
          <w:highlight w:val="none"/>
        </w:rPr>
        <w:t>九、解释权限</w:t>
      </w:r>
      <w:bookmarkEnd w:id="238"/>
      <w:bookmarkEnd w:id="239"/>
      <w:bookmarkEnd w:id="240"/>
      <w:bookmarkEnd w:id="241"/>
      <w:bookmarkEnd w:id="242"/>
      <w:bookmarkEnd w:id="243"/>
      <w:bookmarkEnd w:id="244"/>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5" w:name="_Toc21489"/>
      <w:bookmarkStart w:id="246" w:name="_Toc27408"/>
      <w:bookmarkStart w:id="247" w:name="_Toc10975"/>
      <w:bookmarkStart w:id="248" w:name="_Toc121471701"/>
      <w:r>
        <w:rPr>
          <w:rFonts w:ascii="黑体" w:hAnsi="黑体"/>
          <w:b w:val="0"/>
          <w:color w:val="auto"/>
          <w:highlight w:val="none"/>
        </w:rPr>
        <w:t>46.</w:t>
      </w:r>
      <w:r>
        <w:rPr>
          <w:rFonts w:hint="eastAsia" w:ascii="黑体" w:hAnsi="黑体"/>
          <w:b w:val="0"/>
          <w:color w:val="auto"/>
          <w:highlight w:val="none"/>
        </w:rPr>
        <w:t>解释权限</w:t>
      </w:r>
      <w:bookmarkEnd w:id="245"/>
      <w:bookmarkEnd w:id="246"/>
      <w:bookmarkEnd w:id="247"/>
      <w:bookmarkEnd w:id="248"/>
    </w:p>
    <w:p>
      <w:pPr>
        <w:autoSpaceDE w:val="0"/>
        <w:autoSpaceDN w:val="0"/>
        <w:adjustRightInd w:val="0"/>
        <w:snapToGrid w:val="0"/>
        <w:spacing w:line="560" w:lineRule="exact"/>
        <w:ind w:firstLine="560" w:firstLineChars="200"/>
        <w:rPr>
          <w:bCs/>
          <w:color w:val="auto"/>
          <w:sz w:val="32"/>
          <w:szCs w:val="32"/>
          <w:highlight w:val="none"/>
        </w:rPr>
      </w:pPr>
      <w:r>
        <w:rPr>
          <w:rFonts w:ascii="宋体" w:hAnsi="宋体"/>
          <w:bCs/>
          <w:snapToGrid w:val="0"/>
          <w:color w:val="auto"/>
          <w:sz w:val="28"/>
          <w:szCs w:val="28"/>
          <w:highlight w:val="none"/>
          <w:lang w:val="zh-CN"/>
        </w:rPr>
        <w:t>46.1</w:t>
      </w:r>
      <w:r>
        <w:rPr>
          <w:rFonts w:hint="eastAsia" w:ascii="宋体" w:hAnsi="宋体"/>
          <w:bCs/>
          <w:snapToGrid w:val="0"/>
          <w:color w:val="auto"/>
          <w:sz w:val="28"/>
          <w:szCs w:val="28"/>
          <w:highlight w:val="none"/>
          <w:lang w:val="zh-CN"/>
        </w:rPr>
        <w:t>本招标文件由采购机构负责解释。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sectPr>
          <w:headerReference r:id="rId4" w:type="default"/>
          <w:footerReference r:id="rId5" w:type="default"/>
          <w:pgSz w:w="11906" w:h="16838"/>
          <w:pgMar w:top="1418" w:right="1134" w:bottom="1560" w:left="1418" w:header="851" w:footer="851" w:gutter="0"/>
          <w:pgNumType w:start="1"/>
          <w:cols w:space="720" w:num="1"/>
        </w:sectPr>
      </w:pPr>
      <w:bookmarkStart w:id="249" w:name="_Toc3975"/>
      <w:bookmarkStart w:id="250" w:name="_Toc21568"/>
      <w:bookmarkStart w:id="251" w:name="_Toc16129"/>
      <w:bookmarkStart w:id="252" w:name="_Toc121471704"/>
      <w:bookmarkStart w:id="253" w:name="_Toc128150129"/>
      <w:bookmarkStart w:id="254" w:name="_Toc132398776"/>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rFonts w:ascii="黑体" w:hAnsi="黑体" w:eastAsia="黑体"/>
          <w:b w:val="0"/>
          <w:color w:val="auto"/>
          <w:sz w:val="28"/>
          <w:szCs w:val="28"/>
          <w:highlight w:val="none"/>
        </w:rPr>
        <w:t>附</w:t>
      </w:r>
      <w:r>
        <w:rPr>
          <w:rFonts w:hint="eastAsia" w:ascii="黑体" w:hAnsi="黑体" w:eastAsia="黑体"/>
          <w:b w:val="0"/>
          <w:color w:val="auto"/>
          <w:sz w:val="28"/>
          <w:szCs w:val="28"/>
          <w:highlight w:val="none"/>
        </w:rPr>
        <w:t>页</w:t>
      </w:r>
      <w:r>
        <w:rPr>
          <w:rFonts w:ascii="黑体" w:hAnsi="黑体" w:eastAsia="黑体"/>
          <w:b w:val="0"/>
          <w:color w:val="auto"/>
          <w:sz w:val="28"/>
          <w:szCs w:val="28"/>
          <w:highlight w:val="none"/>
        </w:rPr>
        <w:t xml:space="preserve">1 </w:t>
      </w:r>
      <w:r>
        <w:rPr>
          <w:rFonts w:hint="eastAsia" w:ascii="黑体" w:hAnsi="黑体" w:eastAsia="黑体"/>
          <w:b w:val="0"/>
          <w:color w:val="auto"/>
          <w:sz w:val="28"/>
          <w:szCs w:val="28"/>
          <w:highlight w:val="none"/>
        </w:rPr>
        <w:t>招标文件更正确认函</w:t>
      </w:r>
      <w:bookmarkEnd w:id="249"/>
      <w:bookmarkEnd w:id="250"/>
      <w:bookmarkEnd w:id="251"/>
      <w:bookmarkEnd w:id="252"/>
      <w:bookmarkEnd w:id="253"/>
      <w:bookmarkEnd w:id="25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招标文件更正确认函</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560" w:lineRule="exact"/>
        <w:ind w:firstLine="624"/>
        <w:rPr>
          <w:rFonts w:ascii="宋体" w:hAnsi="宋体" w:cs="宋体"/>
          <w:color w:val="auto"/>
          <w:sz w:val="28"/>
          <w:szCs w:val="28"/>
          <w:highlight w:val="none"/>
        </w:rPr>
      </w:pPr>
      <w:r>
        <w:rPr>
          <w:rFonts w:hint="eastAsia" w:ascii="宋体" w:hAnsi="宋体" w:cs="宋体"/>
          <w:color w:val="auto"/>
          <w:sz w:val="28"/>
          <w:szCs w:val="28"/>
          <w:highlight w:val="none"/>
        </w:rPr>
        <w:t>我单位对</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采购项目（项目编号：</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）的招标文件更正信息已收悉。</w:t>
      </w:r>
    </w:p>
    <w:p>
      <w:pPr>
        <w:spacing w:line="560" w:lineRule="exact"/>
        <w:ind w:left="680"/>
        <w:rPr>
          <w:rFonts w:ascii="宋体" w:hAnsi="宋体" w:cs="宋体"/>
          <w:color w:val="auto"/>
          <w:sz w:val="28"/>
          <w:szCs w:val="28"/>
          <w:highlight w:val="none"/>
        </w:rPr>
      </w:pPr>
    </w:p>
    <w:p>
      <w:pPr>
        <w:spacing w:line="560" w:lineRule="exact"/>
        <w:ind w:left="680"/>
        <w:rPr>
          <w:rFonts w:ascii="宋体" w:hAnsi="宋体" w:cs="宋体"/>
          <w:color w:val="auto"/>
          <w:sz w:val="28"/>
          <w:szCs w:val="28"/>
          <w:highlight w:val="none"/>
        </w:rPr>
      </w:pPr>
    </w:p>
    <w:p>
      <w:pPr>
        <w:spacing w:line="560" w:lineRule="exact"/>
        <w:ind w:left="680"/>
        <w:rPr>
          <w:rFonts w:ascii="宋体" w:hAnsi="宋体" w:cs="宋体"/>
          <w:color w:val="auto"/>
          <w:sz w:val="28"/>
          <w:szCs w:val="28"/>
          <w:highlight w:val="none"/>
        </w:rPr>
      </w:pPr>
    </w:p>
    <w:p>
      <w:pPr>
        <w:spacing w:line="360" w:lineRule="auto"/>
        <w:rPr>
          <w:rFonts w:ascii="宋体" w:hAnsi="宋体" w:cs="宋体"/>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624"/>
        <w:rPr>
          <w:rFonts w:ascii="仿宋_GB2312" w:cs="宋体"/>
          <w:color w:val="auto"/>
          <w:szCs w:val="32"/>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255" w:name="_Toc132398777"/>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25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质疑供应商名称：（盖章）</w:t>
      </w:r>
    </w:p>
    <w:p>
      <w:pPr>
        <w:spacing w:line="560" w:lineRule="exact"/>
        <w:ind w:firstLine="560" w:firstLineChars="200"/>
        <w:jc w:val="left"/>
        <w:rPr>
          <w:rFonts w:hint="default" w:ascii="宋体" w:hAnsi="宋体" w:eastAsia="宋体"/>
          <w:color w:val="auto"/>
          <w:kern w:val="0"/>
          <w:sz w:val="28"/>
          <w:szCs w:val="28"/>
          <w:highlight w:val="none"/>
          <w:lang w:val="en-US" w:eastAsia="zh-CN"/>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r>
        <w:rPr>
          <w:rFonts w:hint="eastAsia" w:ascii="宋体" w:hAnsi="宋体"/>
          <w:color w:val="auto"/>
          <w:kern w:val="0"/>
          <w:sz w:val="28"/>
          <w:szCs w:val="28"/>
          <w:highlight w:val="none"/>
          <w:lang w:val="en-US" w:eastAsia="zh-CN"/>
        </w:rPr>
        <w:t>:</w:t>
      </w:r>
    </w:p>
    <w:p>
      <w:pPr>
        <w:spacing w:line="560" w:lineRule="exact"/>
        <w:ind w:firstLine="560" w:firstLineChars="200"/>
        <w:jc w:val="lef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256" w:name="_Toc132398778"/>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256"/>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投诉人名称：（盖章）</w:t>
      </w:r>
    </w:p>
    <w:p>
      <w:pPr>
        <w:spacing w:line="560" w:lineRule="exact"/>
        <w:ind w:firstLine="560" w:firstLineChars="200"/>
        <w:jc w:val="center"/>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r>
        <w:rPr>
          <w:rFonts w:hint="eastAsia" w:ascii="宋体" w:hAnsi="宋体"/>
          <w:color w:val="auto"/>
          <w:kern w:val="0"/>
          <w:sz w:val="28"/>
          <w:szCs w:val="28"/>
          <w:highlight w:val="none"/>
          <w:lang w:val="en-US" w:eastAsia="zh-CN"/>
        </w:rPr>
        <w:t>:</w:t>
      </w: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hAnsi="宋体"/>
          <w:bCs w:val="0"/>
          <w:color w:val="auto"/>
          <w:highlight w:val="none"/>
        </w:rPr>
        <w:sectPr>
          <w:pgSz w:w="11906" w:h="16838"/>
          <w:pgMar w:top="1418" w:right="1134" w:bottom="1418" w:left="1418" w:header="851" w:footer="851" w:gutter="0"/>
          <w:cols w:space="720" w:num="1"/>
        </w:sectPr>
      </w:pP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257" w:name="_Toc112317783"/>
      <w:bookmarkStart w:id="258" w:name="_Toc19977"/>
      <w:bookmarkStart w:id="259" w:name="_Toc11997"/>
      <w:bookmarkStart w:id="260" w:name="_Toc3383"/>
      <w:bookmarkStart w:id="261" w:name="_Toc121471707"/>
      <w:bookmarkStart w:id="262" w:name="_Toc132398779"/>
      <w:bookmarkStart w:id="263" w:name="_Toc128150132"/>
      <w:r>
        <w:rPr>
          <w:rFonts w:hint="eastAsia" w:eastAsia="方正小标宋简体"/>
          <w:color w:val="auto"/>
          <w:kern w:val="0"/>
          <w:sz w:val="44"/>
          <w:szCs w:val="44"/>
          <w:highlight w:val="none"/>
        </w:rPr>
        <w:t>第二章</w:t>
      </w:r>
      <w:bookmarkEnd w:id="257"/>
      <w:bookmarkEnd w:id="258"/>
      <w:bookmarkEnd w:id="259"/>
      <w:bookmarkEnd w:id="260"/>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261"/>
      <w:bookmarkEnd w:id="262"/>
      <w:bookmarkEnd w:id="263"/>
    </w:p>
    <w:p>
      <w:pPr>
        <w:pStyle w:val="5"/>
        <w:spacing w:before="0" w:after="0" w:line="560" w:lineRule="exact"/>
        <w:ind w:firstLine="560"/>
        <w:rPr>
          <w:rFonts w:ascii="黑体" w:hAnsi="黑体" w:eastAsia="黑体" w:cs="黑体"/>
          <w:b w:val="0"/>
          <w:color w:val="auto"/>
          <w:sz w:val="28"/>
          <w:szCs w:val="28"/>
          <w:highlight w:val="none"/>
        </w:rPr>
      </w:pPr>
      <w:bookmarkStart w:id="264" w:name="_Toc121471708"/>
      <w:bookmarkStart w:id="265" w:name="_Toc132398780"/>
      <w:bookmarkStart w:id="266" w:name="_Toc12110"/>
      <w:bookmarkStart w:id="267" w:name="_Toc24290"/>
      <w:bookmarkStart w:id="268" w:name="_Toc130886519"/>
      <w:bookmarkStart w:id="269" w:name="_Toc10095"/>
      <w:r>
        <w:rPr>
          <w:rFonts w:hint="eastAsia" w:ascii="黑体" w:hAnsi="黑体" w:eastAsia="黑体" w:cs="黑体"/>
          <w:b w:val="0"/>
          <w:color w:val="auto"/>
          <w:sz w:val="28"/>
          <w:szCs w:val="28"/>
          <w:highlight w:val="none"/>
        </w:rPr>
        <w:t>一、定义</w:t>
      </w:r>
      <w:bookmarkEnd w:id="264"/>
      <w:bookmarkEnd w:id="265"/>
      <w:bookmarkEnd w:id="266"/>
      <w:bookmarkEnd w:id="267"/>
      <w:bookmarkEnd w:id="268"/>
      <w:bookmarkEnd w:id="269"/>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“乙方”是指中标后提供相关服务的供应商。</w:t>
      </w:r>
    </w:p>
    <w:p>
      <w:pPr>
        <w:pStyle w:val="5"/>
        <w:spacing w:before="0" w:after="0" w:line="560" w:lineRule="exact"/>
        <w:ind w:firstLine="560"/>
        <w:rPr>
          <w:rFonts w:ascii="黑体" w:hAnsi="黑体" w:cs="黑体"/>
          <w:b w:val="0"/>
          <w:color w:val="auto"/>
          <w:highlight w:val="none"/>
        </w:rPr>
      </w:pPr>
      <w:bookmarkStart w:id="270" w:name="_Toc130886520"/>
      <w:bookmarkStart w:id="271" w:name="_Toc132398781"/>
      <w:r>
        <w:rPr>
          <w:rFonts w:hint="eastAsia" w:ascii="黑体" w:hAnsi="黑体" w:eastAsia="黑体" w:cs="黑体"/>
          <w:b w:val="0"/>
          <w:color w:val="auto"/>
          <w:sz w:val="28"/>
          <w:szCs w:val="28"/>
          <w:highlight w:val="none"/>
        </w:rPr>
        <w:t>※二、物资编目编码、打码贴签要求</w:t>
      </w:r>
      <w:bookmarkEnd w:id="270"/>
      <w:bookmarkEnd w:id="271"/>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服务类采购项目涉及配套或相关物资的，按照下列要求对物资进行编目编码和打码贴签。</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1.乙方可通过军队采购网互联网网站（www.plap.mil.cn）或“通用物资编目数据平台”（</w:t>
      </w:r>
      <w:r>
        <w:rPr>
          <w:rFonts w:ascii="宋体" w:hAnsi="宋体"/>
          <w:bCs/>
          <w:color w:val="auto"/>
          <w:sz w:val="28"/>
          <w:szCs w:val="28"/>
          <w:highlight w:val="none"/>
        </w:rPr>
        <w:t>www.ngcode.cn/catalog</w:t>
      </w:r>
      <w:r>
        <w:rPr>
          <w:rFonts w:hint="eastAsia" w:ascii="宋体" w:hAnsi="宋体"/>
          <w:color w:val="auto"/>
          <w:sz w:val="28"/>
          <w:szCs w:val="28"/>
          <w:highlight w:val="none"/>
        </w:rPr>
        <w:t>），下载安装编目用户终端软件。按要求录入采购物资数据，导入技术规范、产品说明书、图片等便于物资识别的电子文件资料，生成编目申请数据包，提交甲方或承担军队资产编目编码职能的单位。</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2.乙方应当配合甲方或承担军队资产编目编码职能的单位，补充完善编目数据。</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3.乙方通过甲方接收赋码后的编目数据包，导入编目用户终端软件，获取品种码，正确填入合同文本，用于打码贴签、验收结算等。</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4.甲方有单件管理需要的，乙方应当依据规则或示例程序自行生成单件码。</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（二）乙方应当按照统一要求在物资交付前完成打码贴签工作。</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1.物资标识标签格式、张挂位置、材质、码制等内容，应当符合军队有关要求。</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2.物资标识标签上的品种码应当与合同物资明细表中的品种码完全一致。</w:t>
      </w:r>
    </w:p>
    <w:p>
      <w:pPr>
        <w:pStyle w:val="17"/>
        <w:spacing w:after="0" w:line="560" w:lineRule="exact"/>
        <w:ind w:firstLine="560" w:firstLineChars="200"/>
        <w:rPr>
          <w:color w:val="auto"/>
          <w:highlight w:val="none"/>
        </w:rPr>
      </w:pPr>
      <w:r>
        <w:rPr>
          <w:rFonts w:hint="eastAsia" w:ascii="宋体" w:hAnsi="宋体"/>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rPr>
          <w:rFonts w:ascii="黑体" w:hAnsi="黑体" w:cs="黑体"/>
          <w:b w:val="0"/>
          <w:color w:val="auto"/>
          <w:highlight w:val="none"/>
        </w:rPr>
      </w:pPr>
      <w:bookmarkStart w:id="272" w:name="_Toc121216143"/>
      <w:bookmarkStart w:id="273" w:name="_Toc130886521"/>
      <w:bookmarkStart w:id="274" w:name="_Toc121470588"/>
      <w:bookmarkStart w:id="275" w:name="_Toc132398782"/>
      <w:bookmarkStart w:id="276" w:name="_Toc121471709"/>
      <w:r>
        <w:rPr>
          <w:rFonts w:hint="eastAsia" w:ascii="黑体" w:hAnsi="黑体" w:eastAsia="黑体" w:cs="黑体"/>
          <w:b w:val="0"/>
          <w:color w:val="auto"/>
          <w:sz w:val="28"/>
          <w:szCs w:val="28"/>
          <w:highlight w:val="none"/>
        </w:rPr>
        <w:t>三、保密条款</w:t>
      </w:r>
      <w:bookmarkEnd w:id="272"/>
      <w:bookmarkEnd w:id="273"/>
      <w:bookmarkEnd w:id="274"/>
      <w:bookmarkEnd w:id="275"/>
      <w:bookmarkEnd w:id="276"/>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cs="黑体"/>
          <w:b w:val="0"/>
          <w:color w:val="auto"/>
          <w:highlight w:val="none"/>
        </w:rPr>
      </w:pPr>
      <w:bookmarkStart w:id="277" w:name="_Toc130886522"/>
      <w:bookmarkStart w:id="278" w:name="_Toc132398783"/>
      <w:bookmarkStart w:id="279" w:name="_Toc121471710"/>
      <w:r>
        <w:rPr>
          <w:rFonts w:hint="eastAsia" w:ascii="黑体" w:hAnsi="黑体" w:eastAsia="黑体" w:cs="黑体"/>
          <w:b w:val="0"/>
          <w:color w:val="auto"/>
          <w:sz w:val="28"/>
          <w:szCs w:val="28"/>
          <w:highlight w:val="none"/>
        </w:rPr>
        <w:t>四、知识产权</w:t>
      </w:r>
      <w:bookmarkEnd w:id="277"/>
      <w:bookmarkEnd w:id="278"/>
      <w:bookmarkEnd w:id="279"/>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bCs/>
          <w:color w:val="auto"/>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cs="黑体"/>
          <w:b w:val="0"/>
          <w:color w:val="auto"/>
          <w:highlight w:val="none"/>
        </w:rPr>
      </w:pPr>
      <w:bookmarkStart w:id="280" w:name="_Toc12219"/>
      <w:bookmarkStart w:id="281" w:name="_Toc130886523"/>
      <w:bookmarkStart w:id="282" w:name="_Toc11458"/>
      <w:bookmarkStart w:id="283" w:name="_Toc121471711"/>
      <w:bookmarkStart w:id="284" w:name="_Toc29139"/>
      <w:bookmarkStart w:id="285" w:name="_Toc83738986"/>
      <w:bookmarkStart w:id="286" w:name="_Toc132398784"/>
      <w:bookmarkStart w:id="287" w:name="_Toc8880"/>
      <w:bookmarkStart w:id="288" w:name="_Toc16921"/>
      <w:r>
        <w:rPr>
          <w:rFonts w:hint="eastAsia" w:ascii="黑体" w:hAnsi="黑体" w:eastAsia="黑体" w:cs="黑体"/>
          <w:b w:val="0"/>
          <w:color w:val="auto"/>
          <w:sz w:val="28"/>
          <w:szCs w:val="28"/>
          <w:highlight w:val="none"/>
        </w:rPr>
        <w:t>五、合同的变更和解除</w:t>
      </w:r>
      <w:bookmarkEnd w:id="280"/>
      <w:bookmarkEnd w:id="281"/>
      <w:bookmarkEnd w:id="282"/>
      <w:bookmarkEnd w:id="283"/>
      <w:bookmarkEnd w:id="284"/>
      <w:bookmarkEnd w:id="285"/>
      <w:bookmarkEnd w:id="286"/>
      <w:bookmarkEnd w:id="287"/>
      <w:bookmarkEnd w:id="288"/>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cs="黑体"/>
          <w:b w:val="0"/>
          <w:color w:val="auto"/>
          <w:highlight w:val="none"/>
        </w:rPr>
      </w:pPr>
      <w:bookmarkStart w:id="289" w:name="_Toc121471712"/>
      <w:bookmarkStart w:id="290" w:name="_Toc30401"/>
      <w:bookmarkStart w:id="291" w:name="_Toc844"/>
      <w:bookmarkStart w:id="292" w:name="_Toc19429"/>
      <w:bookmarkStart w:id="293" w:name="_Toc83738987"/>
      <w:bookmarkStart w:id="294" w:name="_Toc130886524"/>
      <w:bookmarkStart w:id="295" w:name="_Toc132398785"/>
      <w:bookmarkStart w:id="296" w:name="_Toc27973"/>
      <w:bookmarkStart w:id="297" w:name="_Toc22397"/>
      <w:r>
        <w:rPr>
          <w:rFonts w:hint="eastAsia" w:ascii="黑体" w:hAnsi="黑体" w:eastAsia="黑体" w:cs="黑体"/>
          <w:b w:val="0"/>
          <w:color w:val="auto"/>
          <w:sz w:val="28"/>
          <w:szCs w:val="28"/>
          <w:highlight w:val="none"/>
        </w:rPr>
        <w:t>六、履约监督</w:t>
      </w:r>
      <w:bookmarkEnd w:id="289"/>
      <w:bookmarkEnd w:id="290"/>
      <w:bookmarkEnd w:id="291"/>
      <w:bookmarkEnd w:id="292"/>
      <w:bookmarkEnd w:id="293"/>
      <w:bookmarkEnd w:id="294"/>
      <w:bookmarkEnd w:id="295"/>
      <w:bookmarkEnd w:id="296"/>
      <w:bookmarkEnd w:id="297"/>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cs="黑体"/>
          <w:b w:val="0"/>
          <w:color w:val="auto"/>
          <w:highlight w:val="none"/>
        </w:rPr>
      </w:pPr>
      <w:bookmarkStart w:id="298" w:name="_Toc130886525"/>
      <w:bookmarkStart w:id="299" w:name="_Toc132398786"/>
      <w:r>
        <w:rPr>
          <w:rFonts w:hint="eastAsia" w:ascii="黑体" w:hAnsi="黑体" w:eastAsia="黑体" w:cs="黑体"/>
          <w:b w:val="0"/>
          <w:color w:val="auto"/>
          <w:sz w:val="28"/>
          <w:szCs w:val="28"/>
          <w:highlight w:val="none"/>
        </w:rPr>
        <w:t>七、转包与分包</w:t>
      </w:r>
      <w:bookmarkEnd w:id="298"/>
      <w:bookmarkEnd w:id="299"/>
    </w:p>
    <w:p>
      <w:pPr>
        <w:pStyle w:val="17"/>
        <w:spacing w:after="0" w:line="560" w:lineRule="exact"/>
        <w:ind w:firstLine="560" w:firstLineChars="200"/>
        <w:rPr>
          <w:bCs/>
          <w:color w:val="auto"/>
          <w:sz w:val="28"/>
          <w:szCs w:val="28"/>
          <w:highlight w:val="none"/>
        </w:rPr>
      </w:pPr>
      <w:r>
        <w:rPr>
          <w:rFonts w:hint="eastAsia"/>
          <w:bCs/>
          <w:color w:val="auto"/>
          <w:sz w:val="28"/>
          <w:szCs w:val="28"/>
          <w:highlight w:val="none"/>
        </w:rPr>
        <w:t>（一）乙方不得以任何形式将合同转包。</w:t>
      </w:r>
    </w:p>
    <w:p>
      <w:pPr>
        <w:pStyle w:val="17"/>
        <w:spacing w:after="0" w:line="560" w:lineRule="exact"/>
        <w:ind w:firstLine="560" w:firstLineChars="200"/>
        <w:rPr>
          <w:bCs/>
          <w:color w:val="auto"/>
          <w:sz w:val="28"/>
          <w:szCs w:val="28"/>
          <w:highlight w:val="none"/>
        </w:rPr>
      </w:pPr>
      <w:r>
        <w:rPr>
          <w:rFonts w:hint="eastAsia"/>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color w:val="auto"/>
          <w:sz w:val="28"/>
          <w:szCs w:val="28"/>
          <w:highlight w:val="none"/>
        </w:rPr>
      </w:pPr>
      <w:r>
        <w:rPr>
          <w:rFonts w:hint="eastAsia"/>
          <w:bCs/>
          <w:color w:val="auto"/>
          <w:sz w:val="28"/>
          <w:szCs w:val="28"/>
          <w:highlight w:val="none"/>
        </w:rPr>
        <w:t>（三）合同分包履行的，乙方</w:t>
      </w:r>
      <w:r>
        <w:rPr>
          <w:rFonts w:hint="eastAsia" w:ascii="宋体" w:hAnsi="宋体"/>
          <w:color w:val="auto"/>
          <w:sz w:val="28"/>
          <w:szCs w:val="28"/>
          <w:highlight w:val="none"/>
        </w:rPr>
        <w:t>应当</w:t>
      </w:r>
      <w:r>
        <w:rPr>
          <w:rFonts w:hint="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cs="黑体"/>
          <w:b w:val="0"/>
          <w:color w:val="auto"/>
          <w:highlight w:val="none"/>
        </w:rPr>
      </w:pPr>
      <w:bookmarkStart w:id="300" w:name="_Toc121471713"/>
      <w:bookmarkStart w:id="301" w:name="_Toc130886526"/>
      <w:bookmarkStart w:id="302" w:name="_Toc132398787"/>
      <w:bookmarkStart w:id="303" w:name="_Toc19731"/>
      <w:bookmarkStart w:id="304" w:name="_Toc12379"/>
      <w:bookmarkStart w:id="305" w:name="_Toc83738988"/>
      <w:bookmarkStart w:id="306" w:name="_Toc10106"/>
      <w:bookmarkStart w:id="307" w:name="_Toc25769"/>
      <w:bookmarkStart w:id="308" w:name="_Toc16941"/>
      <w:r>
        <w:rPr>
          <w:rFonts w:hint="eastAsia" w:ascii="黑体" w:hAnsi="黑体" w:eastAsia="黑体" w:cs="黑体"/>
          <w:b w:val="0"/>
          <w:color w:val="auto"/>
          <w:sz w:val="28"/>
          <w:szCs w:val="28"/>
          <w:highlight w:val="none"/>
        </w:rPr>
        <w:t>八、违约责任</w:t>
      </w:r>
      <w:bookmarkEnd w:id="300"/>
      <w:bookmarkEnd w:id="301"/>
      <w:bookmarkEnd w:id="302"/>
      <w:bookmarkEnd w:id="303"/>
      <w:bookmarkEnd w:id="304"/>
      <w:bookmarkEnd w:id="305"/>
      <w:bookmarkEnd w:id="306"/>
      <w:bookmarkEnd w:id="307"/>
      <w:bookmarkEnd w:id="308"/>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（一）乙方未经甲方同意而延期进场时，应当向甲方偿付违约金，违约金每天按违约服务金额的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。如果达到违约金最高限额时仍不能交付，或进场时间影响甲方任务实施，甲方可以终止合同，而由此给甲方造成的实际损失，乙方应当给予足额赔偿。</w:t>
      </w:r>
    </w:p>
    <w:p>
      <w:pPr>
        <w:spacing w:line="560" w:lineRule="exact"/>
        <w:ind w:firstLine="560" w:firstLineChars="200"/>
        <w:rPr>
          <w:rFonts w:ascii="仿宋_GB2312"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color w:val="auto"/>
          <w:sz w:val="28"/>
          <w:szCs w:val="28"/>
          <w:highlight w:val="none"/>
        </w:rPr>
        <w:t>1</w:t>
      </w:r>
      <w:r>
        <w:rPr>
          <w:rFonts w:hint="eastAsia" w:ascii="宋体" w:hAnsi="宋体"/>
          <w:color w:val="auto"/>
          <w:sz w:val="28"/>
          <w:szCs w:val="28"/>
          <w:highlight w:val="none"/>
        </w:rPr>
        <w:t>‰向乙方偿付违约金，违约金最高限额为违约总金额的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cs="黑体"/>
          <w:b w:val="0"/>
          <w:color w:val="auto"/>
          <w:highlight w:val="none"/>
        </w:rPr>
      </w:pPr>
      <w:bookmarkStart w:id="309" w:name="_Toc29755"/>
      <w:bookmarkStart w:id="310" w:name="_Toc130886527"/>
      <w:bookmarkStart w:id="311" w:name="_Toc22345"/>
      <w:bookmarkStart w:id="312" w:name="_Toc83738989"/>
      <w:bookmarkStart w:id="313" w:name="_Toc12060"/>
      <w:bookmarkStart w:id="314" w:name="_Toc132398788"/>
      <w:bookmarkStart w:id="315" w:name="_Toc13278"/>
      <w:bookmarkStart w:id="316" w:name="_Toc121471714"/>
      <w:bookmarkStart w:id="317" w:name="_Toc25283"/>
      <w:r>
        <w:rPr>
          <w:rFonts w:hint="eastAsia" w:ascii="黑体" w:hAnsi="黑体" w:eastAsia="黑体" w:cs="黑体"/>
          <w:b w:val="0"/>
          <w:color w:val="auto"/>
          <w:sz w:val="28"/>
          <w:szCs w:val="28"/>
          <w:highlight w:val="none"/>
        </w:rPr>
        <w:t>九、争议解决方式</w:t>
      </w:r>
      <w:bookmarkEnd w:id="309"/>
      <w:bookmarkEnd w:id="310"/>
      <w:bookmarkEnd w:id="311"/>
      <w:bookmarkEnd w:id="312"/>
      <w:bookmarkEnd w:id="313"/>
      <w:bookmarkEnd w:id="314"/>
      <w:bookmarkEnd w:id="315"/>
      <w:bookmarkEnd w:id="316"/>
      <w:bookmarkEnd w:id="317"/>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color w:val="auto"/>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color w:val="auto"/>
          <w:sz w:val="44"/>
          <w:szCs w:val="44"/>
          <w:highlight w:val="none"/>
        </w:rPr>
        <w:sectPr>
          <w:headerReference r:id="rId6" w:type="default"/>
          <w:pgSz w:w="11906" w:h="16838"/>
          <w:pgMar w:top="1418" w:right="1134" w:bottom="1418" w:left="1418" w:header="851" w:footer="851" w:gutter="0"/>
          <w:cols w:space="720" w:num="1"/>
        </w:sect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18" w:name="_Toc112317784"/>
      <w:r>
        <w:rPr>
          <w:color w:val="auto"/>
          <w:sz w:val="44"/>
          <w:szCs w:val="44"/>
          <w:highlight w:val="none"/>
        </w:rPr>
        <w:br w:type="page"/>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319" w:name="_Toc121471715"/>
      <w:bookmarkStart w:id="320" w:name="_Toc132398789"/>
      <w:bookmarkStart w:id="321" w:name="_Toc15021"/>
      <w:bookmarkStart w:id="322" w:name="_Toc24549"/>
      <w:bookmarkStart w:id="323" w:name="_Toc128150133"/>
      <w:bookmarkStart w:id="324" w:name="_Toc14239"/>
      <w:r>
        <w:rPr>
          <w:rFonts w:hint="eastAsia" w:eastAsia="方正小标宋简体"/>
          <w:color w:val="auto"/>
          <w:kern w:val="0"/>
          <w:sz w:val="44"/>
          <w:szCs w:val="44"/>
          <w:highlight w:val="none"/>
        </w:rPr>
        <w:t>第三章</w:t>
      </w:r>
      <w:bookmarkStart w:id="325" w:name="_Hlk112353117"/>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投标文件内容及格式</w:t>
      </w:r>
      <w:bookmarkEnd w:id="318"/>
      <w:bookmarkEnd w:id="319"/>
      <w:bookmarkEnd w:id="320"/>
      <w:bookmarkEnd w:id="321"/>
      <w:bookmarkEnd w:id="322"/>
      <w:bookmarkEnd w:id="323"/>
      <w:bookmarkEnd w:id="324"/>
      <w:bookmarkEnd w:id="325"/>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投标文件分为“价格文件”“商务技术文件”和“资格证明文件”，包括但不限于本章所述内容，本章提供格式文件的请按格式要求制作。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投标供应商制作投标文件时，</w:t>
      </w:r>
      <w:r>
        <w:rPr>
          <w:rFonts w:hint="eastAsia" w:ascii="宋体" w:hAnsi="宋体"/>
          <w:color w:val="auto"/>
          <w:sz w:val="28"/>
          <w:szCs w:val="28"/>
          <w:highlight w:val="none"/>
        </w:rPr>
        <w:t>应当</w:t>
      </w:r>
      <w:r>
        <w:rPr>
          <w:rFonts w:hint="eastAsia"/>
          <w:bCs/>
          <w:color w:val="auto"/>
          <w:sz w:val="28"/>
          <w:szCs w:val="28"/>
          <w:highlight w:val="none"/>
        </w:rPr>
        <w:t>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pStyle w:val="17"/>
        <w:spacing w:after="0" w:line="560" w:lineRule="exact"/>
        <w:ind w:firstLine="560" w:firstLineChars="200"/>
        <w:rPr>
          <w:bCs/>
          <w:color w:val="auto"/>
          <w:sz w:val="28"/>
          <w:szCs w:val="28"/>
          <w:highlight w:val="none"/>
        </w:rPr>
      </w:pPr>
      <w:r>
        <w:rPr>
          <w:rFonts w:hint="eastAsia"/>
          <w:bCs/>
          <w:i/>
          <w:iCs/>
          <w:color w:val="auto"/>
          <w:sz w:val="28"/>
          <w:szCs w:val="28"/>
          <w:highlight w:val="none"/>
        </w:rPr>
        <w:t>采购机构可以结合邀请招标项目具体特点和实际需要，对本章内容进行补充或细化；本章内容不适用的，采购机构可以删除或调整。采购机构对本章内容进行调整的，应当将调整后的内容与专用文件一并发放投标供应商。</w:t>
      </w:r>
    </w:p>
    <w:p>
      <w:pPr>
        <w:pStyle w:val="17"/>
        <w:rPr>
          <w:color w:val="auto"/>
          <w:highlight w:val="none"/>
        </w:rPr>
      </w:pPr>
    </w:p>
    <w:p>
      <w:pPr>
        <w:widowControl/>
        <w:jc w:val="left"/>
        <w:rPr>
          <w:rFonts w:ascii="宋体" w:hAnsi="宋体"/>
          <w:color w:val="auto"/>
          <w:highlight w:val="none"/>
        </w:rPr>
      </w:pPr>
      <w:r>
        <w:rPr>
          <w:rFonts w:ascii="宋体" w:hAnsi="宋体"/>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326" w:name="_Toc81213694"/>
      <w:bookmarkStart w:id="327" w:name="_Toc132398790"/>
      <w:bookmarkStart w:id="328" w:name="_Toc31021"/>
      <w:bookmarkStart w:id="329" w:name="_Toc3800"/>
      <w:bookmarkStart w:id="330" w:name="_Toc8608"/>
      <w:bookmarkStart w:id="331" w:name="_Toc18151"/>
      <w:bookmarkStart w:id="332" w:name="_Toc130887486"/>
      <w:r>
        <w:rPr>
          <w:rFonts w:hint="eastAsia" w:ascii="方正小标宋简体" w:eastAsia="方正小标宋简体"/>
          <w:b w:val="0"/>
          <w:color w:val="auto"/>
          <w:sz w:val="52"/>
          <w:szCs w:val="52"/>
          <w:highlight w:val="none"/>
        </w:rPr>
        <w:t>一、</w:t>
      </w:r>
      <w:bookmarkEnd w:id="326"/>
      <w:r>
        <w:rPr>
          <w:rFonts w:hint="eastAsia" w:ascii="方正小标宋简体" w:eastAsia="方正小标宋简体"/>
          <w:b w:val="0"/>
          <w:color w:val="auto"/>
          <w:sz w:val="52"/>
          <w:szCs w:val="52"/>
          <w:highlight w:val="none"/>
        </w:rPr>
        <w:t>价格文件</w:t>
      </w:r>
      <w:bookmarkEnd w:id="327"/>
      <w:bookmarkEnd w:id="328"/>
      <w:bookmarkEnd w:id="329"/>
      <w:bookmarkEnd w:id="330"/>
      <w:bookmarkEnd w:id="331"/>
      <w:bookmarkEnd w:id="33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jc w:val="left"/>
        <w:rPr>
          <w:rFonts w:ascii="宋体" w:hAnsi="宋体"/>
          <w:color w:val="auto"/>
          <w:highlight w:val="none"/>
        </w:rPr>
        <w:sectPr>
          <w:headerReference r:id="rId7" w:type="default"/>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333" w:name="_Toc2665"/>
      <w:bookmarkStart w:id="334" w:name="_Toc16125"/>
      <w:bookmarkStart w:id="335" w:name="_Toc5704"/>
      <w:bookmarkStart w:id="336" w:name="_Toc121470596"/>
      <w:bookmarkStart w:id="337" w:name="_Toc8521"/>
      <w:bookmarkStart w:id="338" w:name="_Toc16746"/>
      <w:bookmarkStart w:id="339" w:name="_Toc19261"/>
      <w:bookmarkStart w:id="340" w:name="_Toc26729"/>
      <w:bookmarkStart w:id="341" w:name="_Toc121471717"/>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333"/>
      <w:bookmarkEnd w:id="334"/>
      <w:bookmarkEnd w:id="335"/>
      <w:bookmarkEnd w:id="336"/>
      <w:bookmarkEnd w:id="337"/>
      <w:r>
        <w:rPr>
          <w:rFonts w:hint="eastAsia"/>
          <w:b w:val="0"/>
          <w:color w:val="auto"/>
          <w:highlight w:val="none"/>
        </w:rPr>
        <w:t>（适用于综合评分法和经评审的最低价法）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2604"/>
        <w:gridCol w:w="1706"/>
        <w:gridCol w:w="1474"/>
        <w:gridCol w:w="2022"/>
        <w:gridCol w:w="2014"/>
        <w:gridCol w:w="1474"/>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单价（含税）</w:t>
            </w: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金额（含税）</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07"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8"/>
                <w:szCs w:val="28"/>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bookmarkEnd w:id="338"/>
      <w:bookmarkEnd w:id="339"/>
      <w:bookmarkEnd w:id="340"/>
      <w:bookmarkEnd w:id="341"/>
    </w:tbl>
    <w:p>
      <w:pPr>
        <w:rPr>
          <w:bCs/>
          <w:color w:val="auto"/>
          <w:sz w:val="28"/>
          <w:szCs w:val="28"/>
          <w:highlight w:val="none"/>
        </w:rPr>
      </w:pPr>
    </w:p>
    <w:p>
      <w:pPr>
        <w:rPr>
          <w:rFonts w:hint="default" w:eastAsia="宋体"/>
          <w:bCs/>
          <w:color w:val="auto"/>
          <w:sz w:val="28"/>
          <w:szCs w:val="28"/>
          <w:highlight w:val="none"/>
          <w:lang w:val="en-US"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r>
        <w:rPr>
          <w:rFonts w:hint="eastAsia"/>
          <w:bCs/>
          <w:color w:val="auto"/>
          <w:sz w:val="28"/>
          <w:szCs w:val="28"/>
          <w:highlight w:val="none"/>
          <w:lang w:val="en-US" w:eastAsia="zh-CN"/>
        </w:rPr>
        <w:t>:</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200"/>
        <w:jc w:val="right"/>
        <w:rPr>
          <w:color w:val="auto"/>
          <w:sz w:val="28"/>
          <w:szCs w:val="28"/>
          <w:highlight w:val="none"/>
        </w:rPr>
      </w:pPr>
    </w:p>
    <w:p>
      <w:pPr>
        <w:pStyle w:val="17"/>
        <w:ind w:left="345"/>
        <w:rPr>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spacing w:line="560" w:lineRule="exact"/>
        <w:jc w:val="left"/>
        <w:rPr>
          <w:color w:val="auto"/>
          <w:sz w:val="28"/>
          <w:szCs w:val="28"/>
          <w:highlight w:val="none"/>
          <w:u w:val="singl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rFonts w:hint="eastAsia"/>
          <w:color w:val="auto"/>
          <w:sz w:val="28"/>
          <w:szCs w:val="28"/>
          <w:highlight w:val="none"/>
          <w:u w:val="single"/>
        </w:rPr>
        <w:t xml:space="preserve"> </w:t>
      </w:r>
      <w:r>
        <w:rPr>
          <w:color w:val="auto"/>
          <w:sz w:val="28"/>
          <w:szCs w:val="28"/>
          <w:highlight w:val="none"/>
          <w:u w:val="single"/>
        </w:rPr>
        <w:t xml:space="preserve">        </w:t>
      </w:r>
    </w:p>
    <w:tbl>
      <w:tblPr>
        <w:tblStyle w:val="42"/>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3323"/>
        <w:gridCol w:w="3038"/>
        <w:gridCol w:w="1878"/>
        <w:gridCol w:w="2458"/>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jc w:val="left"/>
              <w:rPr>
                <w:color w:val="auto"/>
                <w:sz w:val="24"/>
                <w:highlight w:val="none"/>
              </w:rPr>
            </w:pPr>
            <w:r>
              <w:rPr>
                <w:rFonts w:hint="eastAsia"/>
                <w:color w:val="auto"/>
                <w:sz w:val="24"/>
                <w:highlight w:val="none"/>
              </w:rPr>
              <w:t>注：本表适用于质量优先法第一次开标，请单独密封包装。</w:t>
            </w:r>
            <w:r>
              <w:rPr>
                <w:rFonts w:hint="eastAsia" w:ascii="宋体" w:hAnsi="宋体"/>
                <w:color w:val="auto"/>
                <w:sz w:val="24"/>
                <w:highlight w:val="none"/>
              </w:rPr>
              <w:t>（</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spacing w:before="120" w:beforeLines="50"/>
        <w:rPr>
          <w:bCs/>
          <w:color w:val="auto"/>
          <w:sz w:val="28"/>
          <w:szCs w:val="28"/>
          <w:highlight w:val="none"/>
        </w:rPr>
      </w:pPr>
    </w:p>
    <w:p>
      <w:pPr>
        <w:spacing w:before="120" w:beforeLines="50"/>
        <w:rPr>
          <w:bCs/>
          <w:color w:val="auto"/>
          <w:sz w:val="32"/>
          <w:szCs w:val="32"/>
          <w:highlight w:val="none"/>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r>
        <w:rPr>
          <w:rFonts w:hint="eastAsia"/>
          <w:bCs/>
          <w:color w:val="auto"/>
          <w:sz w:val="28"/>
          <w:szCs w:val="28"/>
          <w:highlight w:val="none"/>
          <w:lang w:val="en-US" w:eastAsia="zh-CN"/>
        </w:rPr>
        <w:t>:</w:t>
      </w: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200"/>
        <w:jc w:val="right"/>
        <w:rPr>
          <w:color w:val="auto"/>
          <w:highlight w:val="none"/>
        </w:rPr>
      </w:pPr>
    </w:p>
    <w:p>
      <w:pPr>
        <w:pStyle w:val="6"/>
        <w:spacing w:before="120" w:beforeLines="50" w:after="120" w:afterLines="50" w:line="560" w:lineRule="exact"/>
        <w:ind w:firstLine="0" w:firstLineChars="0"/>
        <w:rPr>
          <w:b w:val="0"/>
          <w:color w:val="auto"/>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602"/>
        <w:gridCol w:w="1878"/>
        <w:gridCol w:w="1590"/>
        <w:gridCol w:w="1737"/>
        <w:gridCol w:w="2268"/>
        <w:gridCol w:w="1474"/>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单价（含税）</w:t>
            </w: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金额（含税）</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254"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8"/>
                <w:szCs w:val="28"/>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rPr>
          <w:bCs/>
          <w:color w:val="auto"/>
          <w:sz w:val="28"/>
          <w:szCs w:val="28"/>
          <w:highlight w:val="none"/>
        </w:rPr>
      </w:pPr>
    </w:p>
    <w:p>
      <w:pPr>
        <w:rPr>
          <w:rFonts w:hint="default" w:eastAsia="宋体"/>
          <w:bCs/>
          <w:color w:val="auto"/>
          <w:sz w:val="28"/>
          <w:szCs w:val="28"/>
          <w:highlight w:val="none"/>
          <w:lang w:val="en-US"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r>
        <w:rPr>
          <w:rFonts w:hint="eastAsia"/>
          <w:bCs/>
          <w:color w:val="auto"/>
          <w:sz w:val="28"/>
          <w:szCs w:val="28"/>
          <w:highlight w:val="none"/>
          <w:lang w:val="en-US" w:eastAsia="zh-CN"/>
        </w:rPr>
        <w:t>:</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560" w:firstLineChars="200"/>
        <w:jc w:val="right"/>
        <w:rPr>
          <w:rFonts w:ascii="宋体" w:hAnsi="宋体"/>
          <w:color w:val="auto"/>
          <w:sz w:val="28"/>
          <w:szCs w:val="28"/>
          <w:highlight w:val="none"/>
        </w:rPr>
      </w:pPr>
    </w:p>
    <w:p>
      <w:pPr>
        <w:ind w:left="175"/>
        <w:rPr>
          <w:color w:val="auto"/>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342" w:name="_Toc26114"/>
      <w:bookmarkStart w:id="343" w:name="_Toc407"/>
      <w:bookmarkStart w:id="344" w:name="_Toc121470597"/>
      <w:bookmarkStart w:id="345" w:name="_Toc28761"/>
      <w:bookmarkStart w:id="346" w:name="_Toc24070"/>
      <w:bookmarkStart w:id="347" w:name="_Toc121471718"/>
      <w:bookmarkStart w:id="348" w:name="_Toc4378"/>
      <w:bookmarkStart w:id="349" w:name="_Toc4408"/>
      <w:bookmarkStart w:id="350" w:name="_Toc30464"/>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342"/>
      <w:bookmarkEnd w:id="343"/>
      <w:bookmarkEnd w:id="344"/>
      <w:bookmarkEnd w:id="345"/>
      <w:bookmarkEnd w:id="34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049"/>
        <w:gridCol w:w="794"/>
        <w:gridCol w:w="822"/>
        <w:gridCol w:w="708"/>
        <w:gridCol w:w="993"/>
        <w:gridCol w:w="850"/>
        <w:gridCol w:w="992"/>
        <w:gridCol w:w="709"/>
        <w:gridCol w:w="851"/>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服务内容</w:t>
            </w:r>
          </w:p>
        </w:tc>
        <w:tc>
          <w:tcPr>
            <w:tcW w:w="10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计量</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数量</w:t>
            </w:r>
          </w:p>
        </w:tc>
        <w:tc>
          <w:tcPr>
            <w:tcW w:w="82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总价</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价</w:t>
            </w:r>
            <w:r>
              <w:rPr>
                <w:rFonts w:ascii="宋体" w:hAnsi="宋体"/>
                <w:bCs/>
                <w:color w:val="auto"/>
                <w:sz w:val="24"/>
                <w:highlight w:val="none"/>
              </w:rPr>
              <w:t xml:space="preserve">  </w:t>
            </w:r>
            <w:r>
              <w:rPr>
                <w:rFonts w:hint="eastAsia" w:ascii="宋体" w:hAnsi="宋体"/>
                <w:bCs/>
                <w:color w:val="auto"/>
                <w:sz w:val="24"/>
                <w:highlight w:val="none"/>
              </w:rPr>
              <w:t>格</w:t>
            </w:r>
            <w:r>
              <w:rPr>
                <w:rFonts w:ascii="宋体" w:hAnsi="宋体"/>
                <w:bCs/>
                <w:color w:val="auto"/>
                <w:sz w:val="24"/>
                <w:highlight w:val="none"/>
              </w:rPr>
              <w:t xml:space="preserve">  </w:t>
            </w:r>
            <w:r>
              <w:rPr>
                <w:rFonts w:hint="eastAsia" w:ascii="宋体" w:hAnsi="宋体"/>
                <w:bCs/>
                <w:color w:val="auto"/>
                <w:sz w:val="24"/>
                <w:highlight w:val="none"/>
              </w:rPr>
              <w:t>组</w:t>
            </w:r>
            <w:r>
              <w:rPr>
                <w:rFonts w:ascii="宋体" w:hAnsi="宋体"/>
                <w:bCs/>
                <w:color w:val="auto"/>
                <w:sz w:val="24"/>
                <w:highlight w:val="none"/>
              </w:rPr>
              <w:t xml:space="preserve">  </w:t>
            </w:r>
            <w:r>
              <w:rPr>
                <w:rFonts w:hint="eastAsia" w:ascii="宋体" w:hAnsi="宋体"/>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10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82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单价</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费用1</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ascii="宋体" w:hAnsi="宋体"/>
                <w:bCs/>
                <w:color w:val="auto"/>
                <w:sz w:val="24"/>
                <w:highlight w:val="none"/>
              </w:rPr>
              <w:t>……</w:t>
            </w: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5</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6</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9</w:t>
            </w: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889"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sz w:val="24"/>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889" w:type="dxa"/>
            <w:gridSpan w:val="12"/>
            <w:tcBorders>
              <w:top w:val="single" w:color="auto" w:sz="4" w:space="0"/>
              <w:left w:val="single" w:color="auto" w:sz="4" w:space="0"/>
              <w:right w:val="single" w:color="auto" w:sz="4" w:space="0"/>
            </w:tcBorders>
            <w:vAlign w:val="center"/>
          </w:tcPr>
          <w:p>
            <w:pPr>
              <w:spacing w:line="360" w:lineRule="exact"/>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1.项4=项3×项5</w:t>
            </w:r>
          </w:p>
          <w:p>
            <w:pPr>
              <w:spacing w:line="360" w:lineRule="exact"/>
              <w:rPr>
                <w:rFonts w:ascii="宋体" w:hAnsi="宋体"/>
                <w:bCs/>
                <w:color w:val="auto"/>
                <w:sz w:val="24"/>
                <w:highlight w:val="none"/>
              </w:rPr>
            </w:pPr>
            <w:r>
              <w:rPr>
                <w:rFonts w:ascii="宋体" w:hAnsi="宋体"/>
                <w:bCs/>
                <w:color w:val="auto"/>
                <w:sz w:val="24"/>
                <w:highlight w:val="none"/>
              </w:rPr>
              <w:t xml:space="preserve">     2.项5=项6+项7+项……</w:t>
            </w:r>
          </w:p>
          <w:p>
            <w:pPr>
              <w:pStyle w:val="17"/>
              <w:spacing w:after="0" w:line="360" w:lineRule="exact"/>
              <w:rPr>
                <w:rFonts w:ascii="宋体" w:hAnsi="宋体" w:cs="宋体"/>
                <w:bCs/>
                <w:color w:val="auto"/>
                <w:sz w:val="24"/>
                <w:highlight w:val="none"/>
              </w:rPr>
            </w:pPr>
            <w:r>
              <w:rPr>
                <w:rFonts w:hint="eastAsia" w:ascii="宋体" w:hAnsi="宋体"/>
                <w:color w:val="auto"/>
                <w:sz w:val="24"/>
                <w:highlight w:val="none"/>
              </w:rPr>
              <w:t>（</w:t>
            </w:r>
            <w:r>
              <w:rPr>
                <w:rFonts w:hint="eastAsia" w:ascii="宋体" w:hAnsi="宋体"/>
                <w:i/>
                <w:iCs/>
                <w:color w:val="auto"/>
                <w:sz w:val="24"/>
                <w:highlight w:val="none"/>
              </w:rPr>
              <w:t>根据服务项目实际情况，自行拟制价格构成表格式</w:t>
            </w:r>
            <w:r>
              <w:rPr>
                <w:rFonts w:hint="eastAsia" w:ascii="宋体" w:hAnsi="宋体"/>
                <w:color w:val="auto"/>
                <w:sz w:val="24"/>
                <w:highlight w:val="none"/>
              </w:rPr>
              <w:t>）</w:t>
            </w:r>
          </w:p>
        </w:tc>
      </w:tr>
    </w:tbl>
    <w:p>
      <w:pPr>
        <w:spacing w:line="560" w:lineRule="exact"/>
        <w:ind w:left="510"/>
        <w:rPr>
          <w:rFonts w:ascii="宋体" w:hAnsi="宋体"/>
          <w:bCs/>
          <w:color w:val="auto"/>
          <w:sz w:val="28"/>
          <w:szCs w:val="28"/>
          <w:highlight w:val="none"/>
        </w:rPr>
      </w:pPr>
    </w:p>
    <w:p>
      <w:pPr>
        <w:rPr>
          <w:color w:val="auto"/>
          <w:highlight w:val="none"/>
        </w:rPr>
      </w:pPr>
    </w:p>
    <w:p>
      <w:pPr>
        <w:pStyle w:val="17"/>
        <w:rPr>
          <w:color w:val="auto"/>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60" w:firstLineChars="200"/>
        <w:jc w:val="right"/>
        <w:rPr>
          <w:color w:val="auto"/>
          <w:sz w:val="28"/>
          <w:szCs w:val="28"/>
          <w:highlight w:val="none"/>
        </w:rPr>
      </w:pPr>
    </w:p>
    <w:p>
      <w:pPr>
        <w:spacing w:line="560" w:lineRule="exact"/>
        <w:ind w:firstLine="560" w:firstLineChars="200"/>
        <w:jc w:val="right"/>
        <w:rPr>
          <w:color w:val="auto"/>
          <w:sz w:val="28"/>
          <w:szCs w:val="28"/>
          <w:highlight w:val="none"/>
        </w:rPr>
      </w:pPr>
    </w:p>
    <w:p>
      <w:pPr>
        <w:spacing w:line="560" w:lineRule="exact"/>
        <w:ind w:firstLine="560" w:firstLineChars="200"/>
        <w:jc w:val="right"/>
        <w:rPr>
          <w:color w:val="auto"/>
          <w:sz w:val="28"/>
          <w:szCs w:val="28"/>
          <w:highlight w:val="none"/>
        </w:rPr>
      </w:pPr>
    </w:p>
    <w:bookmarkEnd w:id="347"/>
    <w:bookmarkEnd w:id="348"/>
    <w:bookmarkEnd w:id="349"/>
    <w:bookmarkEnd w:id="350"/>
    <w:p>
      <w:pPr>
        <w:widowControl/>
        <w:jc w:val="left"/>
        <w:rPr>
          <w:color w:val="auto"/>
          <w:sz w:val="28"/>
          <w:szCs w:val="28"/>
          <w:highlight w:val="none"/>
        </w:rPr>
        <w:sectPr>
          <w:pgSz w:w="11906" w:h="16838"/>
          <w:pgMar w:top="1418" w:right="1134" w:bottom="1418" w:left="1418" w:header="851" w:footer="851" w:gutter="0"/>
          <w:cols w:space="720" w:num="1"/>
          <w:docGrid w:linePitch="286" w:charSpace="0"/>
        </w:sectPr>
      </w:pPr>
    </w:p>
    <w:p>
      <w:pPr>
        <w:pStyle w:val="6"/>
        <w:spacing w:before="120" w:beforeLines="50" w:after="120" w:afterLines="50" w:line="560" w:lineRule="exact"/>
        <w:ind w:firstLine="0" w:firstLineChars="0"/>
        <w:rPr>
          <w:b w:val="0"/>
          <w:color w:val="auto"/>
          <w:highlight w:val="none"/>
        </w:rPr>
      </w:pPr>
      <w:bookmarkStart w:id="351" w:name="_Toc3688"/>
      <w:bookmarkStart w:id="352" w:name="_Toc19968"/>
      <w:bookmarkStart w:id="353" w:name="_Toc2319"/>
      <w:bookmarkStart w:id="354" w:name="_Toc121471719"/>
      <w:r>
        <w:rPr>
          <w:rFonts w:hint="eastAsia"/>
          <w:b w:val="0"/>
          <w:color w:val="auto"/>
          <w:highlight w:val="none"/>
        </w:rPr>
        <w:t>※附件</w:t>
      </w:r>
      <w:r>
        <w:rPr>
          <w:b w:val="0"/>
          <w:color w:val="auto"/>
          <w:highlight w:val="none"/>
        </w:rPr>
        <w:t>1-3</w:t>
      </w:r>
      <w:r>
        <w:rPr>
          <w:rFonts w:hint="eastAsia"/>
          <w:b w:val="0"/>
          <w:color w:val="auto"/>
          <w:highlight w:val="none"/>
        </w:rPr>
        <w:t>其他与价格有关的</w:t>
      </w:r>
      <w:r>
        <w:rPr>
          <w:rFonts w:hint="eastAsia" w:ascii="宋体" w:hAnsi="宋体"/>
          <w:b w:val="0"/>
          <w:color w:val="auto"/>
          <w:highlight w:val="none"/>
        </w:rPr>
        <w:t>材料</w:t>
      </w:r>
      <w:r>
        <w:rPr>
          <w:rFonts w:hint="eastAsia"/>
          <w:b w:val="0"/>
          <w:color w:val="auto"/>
          <w:highlight w:val="none"/>
        </w:rPr>
        <w:t>、文件</w:t>
      </w:r>
      <w:bookmarkEnd w:id="351"/>
      <w:bookmarkEnd w:id="352"/>
      <w:bookmarkEnd w:id="353"/>
      <w:bookmarkEnd w:id="35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widowControl/>
        <w:spacing w:line="560" w:lineRule="exact"/>
        <w:jc w:val="center"/>
        <w:rPr>
          <w:iCs/>
          <w:color w:val="auto"/>
          <w:sz w:val="28"/>
          <w:szCs w:val="28"/>
          <w:highlight w:val="none"/>
        </w:rPr>
      </w:pPr>
      <w:r>
        <w:rPr>
          <w:rFonts w:hint="eastAsia"/>
          <w:iCs/>
          <w:color w:val="auto"/>
          <w:sz w:val="28"/>
          <w:szCs w:val="28"/>
          <w:highlight w:val="none"/>
        </w:rPr>
        <w:t>（由投标供应商根据项目需求自行拟定）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bookmarkStart w:id="355" w:name="_Toc26939"/>
      <w:bookmarkStart w:id="356" w:name="_Toc1834"/>
      <w:bookmarkStart w:id="357" w:name="_Toc6900"/>
      <w:bookmarkStart w:id="358" w:name="_Toc121471721"/>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359" w:name="_Toc132398791"/>
      <w:r>
        <w:rPr>
          <w:rFonts w:hint="eastAsia" w:ascii="方正小标宋简体" w:eastAsia="方正小标宋简体"/>
          <w:b w:val="0"/>
          <w:color w:val="auto"/>
          <w:sz w:val="52"/>
          <w:szCs w:val="52"/>
          <w:highlight w:val="none"/>
        </w:rPr>
        <w:t>二、商务技术文件</w:t>
      </w:r>
      <w:bookmarkEnd w:id="359"/>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355"/>
      <w:bookmarkEnd w:id="356"/>
      <w:bookmarkEnd w:id="357"/>
      <w:bookmarkEnd w:id="35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4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5259"/>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88"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827" w:type="pct"/>
            <w:vMerge w:val="restart"/>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585"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588" w:type="pct"/>
            <w:vMerge w:val="continue"/>
            <w:vAlign w:val="center"/>
          </w:tcPr>
          <w:p>
            <w:pPr>
              <w:spacing w:line="360" w:lineRule="exact"/>
              <w:jc w:val="center"/>
              <w:rPr>
                <w:rFonts w:ascii="宋体" w:hAnsi="宋体"/>
                <w:color w:val="auto"/>
                <w:sz w:val="24"/>
                <w:highlight w:val="none"/>
              </w:rPr>
            </w:pPr>
          </w:p>
        </w:tc>
        <w:tc>
          <w:tcPr>
            <w:tcW w:w="2827" w:type="pct"/>
            <w:vMerge w:val="continue"/>
            <w:vAlign w:val="center"/>
          </w:tcPr>
          <w:p>
            <w:pPr>
              <w:spacing w:line="360" w:lineRule="exact"/>
              <w:jc w:val="center"/>
              <w:rPr>
                <w:rFonts w:ascii="宋体" w:hAnsi="宋体"/>
                <w:color w:val="auto"/>
                <w:sz w:val="24"/>
                <w:highlight w:val="none"/>
              </w:rPr>
            </w:pPr>
          </w:p>
        </w:tc>
        <w:tc>
          <w:tcPr>
            <w:tcW w:w="1585" w:type="pct"/>
            <w:vMerge w:val="continue"/>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4   </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exact"/>
          <w:jc w:val="center"/>
        </w:trPr>
        <w:tc>
          <w:tcPr>
            <w:tcW w:w="5000" w:type="pct"/>
            <w:gridSpan w:val="3"/>
            <w:vAlign w:val="center"/>
          </w:tcPr>
          <w:p>
            <w:pPr>
              <w:spacing w:line="360" w:lineRule="exact"/>
              <w:rPr>
                <w:rFonts w:ascii="宋体" w:hAnsi="宋体"/>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color w:val="auto"/>
          <w:sz w:val="28"/>
          <w:szCs w:val="28"/>
          <w:highlight w:val="none"/>
          <w:lang w:val="zh-CN"/>
        </w:rPr>
      </w:pPr>
    </w:p>
    <w:p>
      <w:pPr>
        <w:rPr>
          <w:rFonts w:eastAsia="黑体"/>
          <w:color w:val="auto"/>
          <w:sz w:val="28"/>
          <w:szCs w:val="28"/>
          <w:highlight w:val="none"/>
        </w:rPr>
      </w:pPr>
    </w:p>
    <w:p>
      <w:pPr>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bookmarkStart w:id="360" w:name="_Toc9589"/>
      <w:bookmarkStart w:id="361" w:name="_Toc640"/>
      <w:bookmarkStart w:id="362" w:name="_Toc22498"/>
      <w:bookmarkStart w:id="363" w:name="_Toc121471722"/>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360"/>
      <w:bookmarkEnd w:id="361"/>
      <w:bookmarkEnd w:id="362"/>
      <w:bookmarkEnd w:id="36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49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295"/>
        <w:gridCol w:w="2125"/>
        <w:gridCol w:w="1134"/>
        <w:gridCol w:w="1985"/>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69"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84"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123"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599"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w:t>
            </w:r>
          </w:p>
          <w:p>
            <w:pPr>
              <w:spacing w:line="360" w:lineRule="exact"/>
              <w:jc w:val="center"/>
              <w:rPr>
                <w:rFonts w:ascii="宋体" w:hAnsi="宋体"/>
                <w:color w:val="auto"/>
                <w:sz w:val="24"/>
                <w:highlight w:val="none"/>
              </w:rPr>
            </w:pPr>
            <w:r>
              <w:rPr>
                <w:rFonts w:hint="eastAsia" w:ascii="宋体" w:hAnsi="宋体"/>
                <w:color w:val="auto"/>
                <w:sz w:val="24"/>
                <w:highlight w:val="none"/>
              </w:rPr>
              <w:t>分值</w:t>
            </w:r>
          </w:p>
        </w:tc>
        <w:tc>
          <w:tcPr>
            <w:tcW w:w="2125" w:type="pct"/>
            <w:gridSpan w:val="2"/>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投标供应商填写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69" w:type="pct"/>
            <w:vMerge w:val="continue"/>
            <w:vAlign w:val="center"/>
          </w:tcPr>
          <w:p>
            <w:pPr>
              <w:spacing w:line="360" w:lineRule="exact"/>
              <w:jc w:val="center"/>
              <w:rPr>
                <w:rFonts w:ascii="宋体" w:hAnsi="宋体"/>
                <w:color w:val="auto"/>
                <w:sz w:val="24"/>
                <w:highlight w:val="none"/>
              </w:rPr>
            </w:pPr>
          </w:p>
        </w:tc>
        <w:tc>
          <w:tcPr>
            <w:tcW w:w="684" w:type="pct"/>
            <w:vMerge w:val="continue"/>
            <w:vAlign w:val="center"/>
          </w:tcPr>
          <w:p>
            <w:pPr>
              <w:spacing w:line="360" w:lineRule="exact"/>
              <w:jc w:val="center"/>
              <w:rPr>
                <w:rFonts w:ascii="宋体" w:hAnsi="宋体"/>
                <w:color w:val="auto"/>
                <w:sz w:val="24"/>
                <w:highlight w:val="none"/>
              </w:rPr>
            </w:pPr>
          </w:p>
        </w:tc>
        <w:tc>
          <w:tcPr>
            <w:tcW w:w="1123" w:type="pct"/>
            <w:vMerge w:val="continue"/>
            <w:vAlign w:val="center"/>
          </w:tcPr>
          <w:p>
            <w:pPr>
              <w:spacing w:line="360" w:lineRule="exact"/>
              <w:jc w:val="center"/>
              <w:rPr>
                <w:rFonts w:ascii="宋体" w:hAnsi="宋体"/>
                <w:color w:val="auto"/>
                <w:sz w:val="24"/>
                <w:highlight w:val="none"/>
              </w:rPr>
            </w:pPr>
          </w:p>
        </w:tc>
        <w:tc>
          <w:tcPr>
            <w:tcW w:w="599" w:type="pct"/>
            <w:vMerge w:val="continue"/>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76" w:type="pct"/>
            <w:vAlign w:val="center"/>
          </w:tcPr>
          <w:p>
            <w:pPr>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p>
        </w:tc>
        <w:tc>
          <w:tcPr>
            <w:tcW w:w="684" w:type="pct"/>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4"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4"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p>
        </w:tc>
        <w:tc>
          <w:tcPr>
            <w:tcW w:w="684" w:type="pct"/>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5000" w:type="pct"/>
            <w:gridSpan w:val="6"/>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备注：投标供应商按照《商务评审标准表》编制此表。投标供应商应当根据本单位实际情况填写指标值或评分项，并标注相关证明材料在</w:t>
            </w:r>
            <w:r>
              <w:rPr>
                <w:rFonts w:hint="eastAsia"/>
                <w:bCs/>
                <w:color w:val="auto"/>
                <w:sz w:val="24"/>
                <w:highlight w:val="none"/>
              </w:rPr>
              <w:t>资格证明文件或商务技术文件的</w:t>
            </w:r>
            <w:r>
              <w:rPr>
                <w:rFonts w:hint="eastAsia" w:ascii="宋体" w:hAnsi="宋体"/>
                <w:color w:val="auto"/>
                <w:sz w:val="24"/>
                <w:highlight w:val="none"/>
              </w:rPr>
              <w:t>位置页码，投标供应商不得虚报、瞒报、漏报或虚假承诺。</w:t>
            </w:r>
          </w:p>
        </w:tc>
      </w:tr>
    </w:tbl>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364" w:name="_Toc19397"/>
      <w:bookmarkStart w:id="365" w:name="_Toc19806"/>
      <w:bookmarkStart w:id="366" w:name="_Toc3945"/>
      <w:bookmarkStart w:id="367" w:name="_Toc121471723"/>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364"/>
      <w:bookmarkEnd w:id="365"/>
      <w:bookmarkEnd w:id="366"/>
      <w:bookmarkEnd w:id="36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w:t>
      </w:r>
      <w:bookmarkStart w:id="368" w:name="_Hlk127258660"/>
      <w:r>
        <w:rPr>
          <w:rFonts w:hint="eastAsia" w:ascii="黑体" w:hAnsi="黑体" w:eastAsia="黑体"/>
          <w:bCs/>
          <w:color w:val="auto"/>
          <w:sz w:val="28"/>
          <w:szCs w:val="28"/>
          <w:highlight w:val="none"/>
        </w:rPr>
        <w:t>商务技术文件</w:t>
      </w:r>
      <w:bookmarkEnd w:id="368"/>
      <w:r>
        <w:rPr>
          <w:rFonts w:hint="eastAsia" w:ascii="黑体" w:hAnsi="黑体" w:eastAsia="黑体"/>
          <w:bCs/>
          <w:color w:val="auto"/>
          <w:sz w:val="28"/>
          <w:szCs w:val="28"/>
          <w:highlight w:val="none"/>
        </w:rPr>
        <w:t>正文前制作本索引表。</w:t>
      </w:r>
    </w:p>
    <w:tbl>
      <w:tblPr>
        <w:tblStyle w:val="42"/>
        <w:tblW w:w="5000" w:type="pct"/>
        <w:jc w:val="center"/>
        <w:tblLayout w:type="autofit"/>
        <w:tblCellMar>
          <w:top w:w="0" w:type="dxa"/>
          <w:left w:w="108" w:type="dxa"/>
          <w:bottom w:w="0" w:type="dxa"/>
          <w:right w:w="108" w:type="dxa"/>
        </w:tblCellMar>
      </w:tblPr>
      <w:tblGrid>
        <w:gridCol w:w="1028"/>
        <w:gridCol w:w="1196"/>
        <w:gridCol w:w="2280"/>
        <w:gridCol w:w="991"/>
        <w:gridCol w:w="1983"/>
        <w:gridCol w:w="2092"/>
      </w:tblGrid>
      <w:tr>
        <w:tblPrEx>
          <w:tblCellMar>
            <w:top w:w="0" w:type="dxa"/>
            <w:left w:w="108" w:type="dxa"/>
            <w:bottom w:w="0" w:type="dxa"/>
            <w:right w:w="108" w:type="dxa"/>
          </w:tblCellMar>
        </w:tblPrEx>
        <w:trPr>
          <w:trHeight w:val="270" w:hRule="atLeast"/>
          <w:jc w:val="center"/>
        </w:trPr>
        <w:tc>
          <w:tcPr>
            <w:tcW w:w="537"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2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191"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518"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w:t>
            </w:r>
          </w:p>
          <w:p>
            <w:pPr>
              <w:spacing w:line="360" w:lineRule="exact"/>
              <w:jc w:val="center"/>
              <w:rPr>
                <w:rFonts w:ascii="宋体" w:hAnsi="宋体"/>
                <w:color w:val="auto"/>
                <w:sz w:val="24"/>
                <w:highlight w:val="none"/>
              </w:rPr>
            </w:pPr>
            <w:r>
              <w:rPr>
                <w:rFonts w:hint="eastAsia" w:ascii="宋体" w:hAnsi="宋体"/>
                <w:color w:val="auto"/>
                <w:sz w:val="24"/>
                <w:highlight w:val="none"/>
              </w:rPr>
              <w:t>分值</w:t>
            </w:r>
          </w:p>
        </w:tc>
        <w:tc>
          <w:tcPr>
            <w:tcW w:w="2129"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投标供应商填写</w:t>
            </w:r>
          </w:p>
        </w:tc>
      </w:tr>
      <w:tr>
        <w:tblPrEx>
          <w:tblCellMar>
            <w:top w:w="0" w:type="dxa"/>
            <w:left w:w="108" w:type="dxa"/>
            <w:bottom w:w="0" w:type="dxa"/>
            <w:right w:w="108" w:type="dxa"/>
          </w:tblCellMar>
        </w:tblPrEx>
        <w:trPr>
          <w:trHeight w:val="360" w:hRule="atLeast"/>
          <w:jc w:val="center"/>
        </w:trPr>
        <w:tc>
          <w:tcPr>
            <w:tcW w:w="537"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91"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19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19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19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9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9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70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备注：投标供应商按照《技术评审标准表》编制此表。</w:t>
            </w:r>
            <w:r>
              <w:rPr>
                <w:rFonts w:hint="eastAsia" w:ascii="宋体" w:hAnsi="宋体"/>
                <w:bCs/>
                <w:color w:val="auto"/>
                <w:sz w:val="24"/>
                <w:highlight w:val="none"/>
              </w:rPr>
              <w:t>投标供应商应当根据本单位实际情况填写指标值或评分项，并标注相关证明材料</w:t>
            </w:r>
            <w:r>
              <w:rPr>
                <w:rFonts w:hint="eastAsia" w:ascii="宋体" w:hAnsi="宋体"/>
                <w:color w:val="auto"/>
                <w:sz w:val="24"/>
                <w:highlight w:val="none"/>
              </w:rPr>
              <w:t>在</w:t>
            </w:r>
            <w:r>
              <w:rPr>
                <w:rFonts w:hint="eastAsia" w:ascii="宋体" w:hAnsi="宋体"/>
                <w:bCs/>
                <w:color w:val="auto"/>
                <w:sz w:val="24"/>
                <w:highlight w:val="none"/>
              </w:rPr>
              <w:t>资格证明文件或商务技术文件的</w:t>
            </w:r>
            <w:r>
              <w:rPr>
                <w:rFonts w:hint="eastAsia" w:ascii="宋体" w:hAnsi="宋体"/>
                <w:color w:val="auto"/>
                <w:sz w:val="24"/>
                <w:highlight w:val="none"/>
              </w:rPr>
              <w:t>位置页码，投标供应商不得虚报、瞒报、漏报或虚假承诺。</w:t>
            </w:r>
          </w:p>
        </w:tc>
      </w:tr>
    </w:tbl>
    <w:p>
      <w:pPr>
        <w:pStyle w:val="6"/>
        <w:spacing w:before="120" w:beforeLines="50" w:after="120" w:afterLines="50" w:line="560" w:lineRule="exact"/>
        <w:ind w:firstLine="0" w:firstLineChars="0"/>
        <w:rPr>
          <w:b w:val="0"/>
          <w:color w:val="auto"/>
          <w:highlight w:val="none"/>
        </w:rPr>
        <w:sectPr>
          <w:headerReference r:id="rId8" w:type="default"/>
          <w:pgSz w:w="11906" w:h="16838"/>
          <w:pgMar w:top="1418" w:right="1134" w:bottom="1418" w:left="1418" w:header="851" w:footer="851" w:gutter="0"/>
          <w:cols w:space="720" w:num="1"/>
          <w:docGrid w:linePitch="388" w:charSpace="-1260"/>
        </w:sectPr>
      </w:pPr>
      <w:bookmarkStart w:id="369" w:name="_Toc121471724"/>
      <w:bookmarkStart w:id="370" w:name="_Toc24879"/>
      <w:bookmarkStart w:id="371" w:name="_Toc14646"/>
      <w:bookmarkStart w:id="372" w:name="_Toc32139"/>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369"/>
      <w:bookmarkEnd w:id="370"/>
      <w:bookmarkEnd w:id="371"/>
      <w:bookmarkEnd w:id="37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560" w:lineRule="exact"/>
        <w:rPr>
          <w:rFonts w:ascii="宋体" w:hAnsi="宋体"/>
          <w:color w:val="auto"/>
          <w:kern w:val="0"/>
          <w:sz w:val="28"/>
          <w:szCs w:val="28"/>
          <w:highlight w:val="none"/>
          <w:u w:val="single"/>
        </w:rPr>
      </w:pPr>
      <w:r>
        <w:rPr>
          <w:rFonts w:hint="eastAsia" w:ascii="宋体" w:hAnsi="宋体"/>
          <w:color w:val="auto"/>
          <w:kern w:val="0"/>
          <w:sz w:val="28"/>
          <w:szCs w:val="28"/>
          <w:highlight w:val="none"/>
          <w:u w:val="single"/>
        </w:rPr>
        <w:t>（采购机构名称）</w:t>
      </w:r>
      <w:r>
        <w:rPr>
          <w:rFonts w:ascii="宋体" w:hAnsi="宋体"/>
          <w:color w:val="auto"/>
          <w:kern w:val="0"/>
          <w:sz w:val="28"/>
          <w:szCs w:val="28"/>
          <w:highlight w:val="none"/>
          <w:u w:val="single"/>
        </w:rPr>
        <w:t>：</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我方参加贵部组织的</w:t>
      </w:r>
      <w:r>
        <w:rPr>
          <w:rFonts w:ascii="宋体" w:hAnsi="宋体"/>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ascii="宋体" w:hAnsi="宋体"/>
          <w:color w:val="auto"/>
          <w:sz w:val="28"/>
          <w:szCs w:val="28"/>
          <w:highlight w:val="none"/>
          <w:u w:val="single"/>
        </w:rPr>
        <w:t>项目名称）</w:t>
      </w:r>
      <w:r>
        <w:rPr>
          <w:rFonts w:ascii="宋体" w:hAnsi="宋体"/>
          <w:color w:val="auto"/>
          <w:sz w:val="28"/>
          <w:szCs w:val="28"/>
          <w:highlight w:val="none"/>
        </w:rPr>
        <w:t>招标采购活动，并对</w:t>
      </w:r>
      <w:r>
        <w:rPr>
          <w:rFonts w:ascii="宋体" w:hAnsi="宋体"/>
          <w:color w:val="auto"/>
          <w:sz w:val="28"/>
          <w:szCs w:val="28"/>
          <w:highlight w:val="none"/>
          <w:u w:val="single"/>
        </w:rPr>
        <w:t>（包号或</w:t>
      </w:r>
      <w:r>
        <w:rPr>
          <w:rFonts w:hint="eastAsia" w:ascii="宋体" w:hAnsi="宋体"/>
          <w:color w:val="auto"/>
          <w:sz w:val="28"/>
          <w:szCs w:val="28"/>
          <w:highlight w:val="none"/>
          <w:u w:val="single"/>
        </w:rPr>
        <w:t>服务</w:t>
      </w:r>
      <w:r>
        <w:rPr>
          <w:rFonts w:ascii="宋体" w:hAnsi="宋体"/>
          <w:color w:val="auto"/>
          <w:sz w:val="28"/>
          <w:szCs w:val="28"/>
          <w:highlight w:val="none"/>
          <w:u w:val="single"/>
        </w:rPr>
        <w:t>名称）</w:t>
      </w:r>
      <w:r>
        <w:rPr>
          <w:rFonts w:ascii="宋体" w:hAnsi="宋体"/>
          <w:color w:val="auto"/>
          <w:sz w:val="28"/>
          <w:szCs w:val="28"/>
          <w:highlight w:val="none"/>
        </w:rPr>
        <w:t>进行投标。</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w:t>
      </w:r>
      <w:r>
        <w:rPr>
          <w:rFonts w:ascii="宋体" w:hAnsi="宋体"/>
          <w:color w:val="auto"/>
          <w:sz w:val="28"/>
          <w:szCs w:val="28"/>
          <w:highlight w:val="none"/>
        </w:rPr>
        <w:t>按照招标文件</w:t>
      </w:r>
      <w:r>
        <w:rPr>
          <w:rFonts w:hint="eastAsia" w:ascii="宋体" w:hAnsi="宋体"/>
          <w:color w:val="auto"/>
          <w:sz w:val="28"/>
          <w:szCs w:val="28"/>
          <w:highlight w:val="none"/>
        </w:rPr>
        <w:t>要求</w:t>
      </w:r>
      <w:r>
        <w:rPr>
          <w:rFonts w:ascii="宋体" w:hAnsi="宋体"/>
          <w:color w:val="auto"/>
          <w:sz w:val="28"/>
          <w:szCs w:val="28"/>
          <w:highlight w:val="none"/>
        </w:rPr>
        <w:t>提交</w:t>
      </w:r>
      <w:r>
        <w:rPr>
          <w:rFonts w:ascii="宋体" w:hAnsi="宋体"/>
          <w:color w:val="auto"/>
          <w:sz w:val="28"/>
          <w:szCs w:val="28"/>
          <w:highlight w:val="none"/>
          <w:lang w:val="zh-CN"/>
        </w:rPr>
        <w:t>投标文件正本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份和副本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w:t>
      </w:r>
      <w:r>
        <w:rPr>
          <w:rFonts w:ascii="宋体" w:hAnsi="宋体"/>
          <w:color w:val="auto"/>
          <w:sz w:val="28"/>
          <w:szCs w:val="28"/>
          <w:highlight w:val="none"/>
        </w:rPr>
        <w:t>，电子版投标文件</w:t>
      </w:r>
      <w:r>
        <w:rPr>
          <w:rFonts w:ascii="宋体" w:hAnsi="宋体"/>
          <w:color w:val="auto"/>
          <w:sz w:val="28"/>
          <w:szCs w:val="28"/>
          <w:highlight w:val="none"/>
          <w:u w:val="single"/>
        </w:rPr>
        <w:t xml:space="preserve">   </w:t>
      </w:r>
      <w:r>
        <w:rPr>
          <w:rFonts w:ascii="宋体" w:hAnsi="宋体"/>
          <w:color w:val="auto"/>
          <w:sz w:val="28"/>
          <w:szCs w:val="28"/>
          <w:highlight w:val="none"/>
        </w:rPr>
        <w:t>份。其中，</w:t>
      </w:r>
      <w:r>
        <w:rPr>
          <w:rFonts w:hint="eastAsia" w:ascii="宋体" w:hAnsi="宋体"/>
          <w:color w:val="auto"/>
          <w:sz w:val="28"/>
          <w:szCs w:val="28"/>
          <w:highlight w:val="none"/>
        </w:rPr>
        <w:t>“</w:t>
      </w:r>
      <w:r>
        <w:rPr>
          <w:rFonts w:ascii="宋体" w:hAnsi="宋体"/>
          <w:color w:val="auto"/>
          <w:sz w:val="28"/>
          <w:szCs w:val="28"/>
          <w:highlight w:val="none"/>
        </w:rPr>
        <w:t>价格文件</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sz w:val="28"/>
          <w:szCs w:val="28"/>
          <w:highlight w:val="none"/>
          <w:u w:val="single"/>
        </w:rPr>
        <w:t xml:space="preserve"> </w:t>
      </w:r>
      <w:r>
        <w:rPr>
          <w:rFonts w:ascii="宋体" w:hAnsi="宋体"/>
          <w:color w:val="auto"/>
          <w:sz w:val="28"/>
          <w:szCs w:val="28"/>
          <w:highlight w:val="none"/>
        </w:rPr>
        <w:t>份单独密封提交。</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二、</w:t>
      </w:r>
      <w:r>
        <w:rPr>
          <w:rFonts w:ascii="宋体" w:hAnsi="宋体"/>
          <w:color w:val="auto"/>
          <w:sz w:val="28"/>
          <w:szCs w:val="28"/>
          <w:highlight w:val="none"/>
          <w:lang w:val="zh-CN"/>
        </w:rPr>
        <w:t>我方已完全理解招标文件的全部内容，自愿接受并执行招标文件的全部条款</w:t>
      </w:r>
      <w:r>
        <w:rPr>
          <w:rFonts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三、</w:t>
      </w:r>
      <w:r>
        <w:rPr>
          <w:rFonts w:ascii="宋体" w:hAnsi="宋体"/>
          <w:color w:val="auto"/>
          <w:sz w:val="28"/>
          <w:szCs w:val="28"/>
          <w:highlight w:val="none"/>
        </w:rPr>
        <w:t>本投标</w:t>
      </w:r>
      <w:r>
        <w:rPr>
          <w:rFonts w:ascii="宋体" w:hAnsi="宋体"/>
          <w:color w:val="auto"/>
          <w:sz w:val="28"/>
          <w:szCs w:val="28"/>
          <w:highlight w:val="none"/>
          <w:lang w:val="zh-CN"/>
        </w:rPr>
        <w:t>有效期自</w:t>
      </w:r>
      <w:r>
        <w:rPr>
          <w:rFonts w:hint="eastAsia" w:ascii="宋体" w:hAnsi="宋体"/>
          <w:color w:val="auto"/>
          <w:sz w:val="28"/>
          <w:szCs w:val="28"/>
          <w:highlight w:val="none"/>
          <w:lang w:val="zh-CN"/>
        </w:rPr>
        <w:t>提交投标文件的截止之日</w:t>
      </w:r>
      <w:r>
        <w:rPr>
          <w:rFonts w:ascii="宋体" w:hAnsi="宋体"/>
          <w:color w:val="auto"/>
          <w:sz w:val="28"/>
          <w:szCs w:val="28"/>
          <w:highlight w:val="none"/>
          <w:lang w:val="zh-CN"/>
        </w:rPr>
        <w:t>起</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日内有效</w:t>
      </w:r>
      <w:r>
        <w:rPr>
          <w:rFonts w:ascii="宋体" w:hAnsi="宋体"/>
          <w:color w:val="auto"/>
          <w:sz w:val="28"/>
          <w:szCs w:val="28"/>
          <w:highlight w:val="none"/>
        </w:rPr>
        <w:t>。</w:t>
      </w:r>
    </w:p>
    <w:p>
      <w:pPr>
        <w:tabs>
          <w:tab w:val="left" w:pos="1020"/>
        </w:tabs>
        <w:spacing w:line="460" w:lineRule="exact"/>
        <w:ind w:firstLine="560" w:firstLineChars="200"/>
        <w:rPr>
          <w:rFonts w:ascii="宋体" w:hAnsi="宋体" w:cs="宋体"/>
          <w:snapToGrid w:val="0"/>
          <w:color w:val="auto"/>
          <w:sz w:val="28"/>
          <w:szCs w:val="28"/>
          <w:highlight w:val="none"/>
          <w:lang w:val="zh-CN"/>
        </w:rPr>
      </w:pPr>
      <w:r>
        <w:rPr>
          <w:rFonts w:hint="eastAsia" w:ascii="宋体" w:hAnsi="宋体"/>
          <w:snapToGrid w:val="0"/>
          <w:color w:val="auto"/>
          <w:sz w:val="28"/>
          <w:szCs w:val="28"/>
          <w:highlight w:val="none"/>
          <w:lang w:val="zh-CN"/>
        </w:rPr>
        <w:t>四、</w:t>
      </w:r>
      <w:r>
        <w:rPr>
          <w:rFonts w:ascii="宋体" w:hAnsi="宋体"/>
          <w:snapToGrid w:val="0"/>
          <w:color w:val="auto"/>
          <w:sz w:val="28"/>
          <w:szCs w:val="28"/>
          <w:highlight w:val="none"/>
          <w:lang w:val="zh-CN"/>
        </w:rPr>
        <w:t>我方在参与投标前已仔细研究了招标文件和所有相关</w:t>
      </w:r>
      <w:r>
        <w:rPr>
          <w:rFonts w:hint="eastAsia" w:ascii="宋体" w:hAnsi="宋体"/>
          <w:snapToGrid w:val="0"/>
          <w:color w:val="auto"/>
          <w:sz w:val="28"/>
          <w:szCs w:val="28"/>
          <w:highlight w:val="none"/>
          <w:lang w:val="zh-CN"/>
        </w:rPr>
        <w:t>材料</w:t>
      </w:r>
      <w:r>
        <w:rPr>
          <w:rFonts w:hint="eastAsia" w:ascii="宋体" w:hAnsi="宋体" w:cs="宋体"/>
          <w:snapToGrid w:val="0"/>
          <w:color w:val="auto"/>
          <w:sz w:val="28"/>
          <w:szCs w:val="28"/>
          <w:highlight w:val="none"/>
          <w:lang w:val="zh-CN"/>
        </w:rPr>
        <w:t>，同意招标文件的相关条款。</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五、</w:t>
      </w:r>
      <w:r>
        <w:rPr>
          <w:rFonts w:ascii="宋体" w:hAnsi="宋体"/>
          <w:color w:val="auto"/>
          <w:sz w:val="28"/>
          <w:szCs w:val="28"/>
          <w:highlight w:val="none"/>
        </w:rPr>
        <w:t>我方声明</w:t>
      </w:r>
      <w:r>
        <w:rPr>
          <w:rFonts w:hint="eastAsia" w:ascii="宋体" w:hAnsi="宋体"/>
          <w:bCs/>
          <w:color w:val="auto"/>
          <w:sz w:val="28"/>
          <w:szCs w:val="28"/>
          <w:highlight w:val="none"/>
        </w:rPr>
        <w:t>提供的</w:t>
      </w:r>
      <w:r>
        <w:rPr>
          <w:rFonts w:ascii="宋体" w:hAnsi="宋体"/>
          <w:color w:val="auto"/>
          <w:sz w:val="28"/>
          <w:szCs w:val="28"/>
          <w:highlight w:val="none"/>
        </w:rPr>
        <w:t>投标文件及一切</w:t>
      </w:r>
      <w:r>
        <w:rPr>
          <w:rFonts w:hint="eastAsia" w:ascii="宋体" w:hAnsi="宋体"/>
          <w:color w:val="auto"/>
          <w:sz w:val="28"/>
          <w:szCs w:val="28"/>
          <w:highlight w:val="none"/>
        </w:rPr>
        <w:t>材料和承诺</w:t>
      </w:r>
      <w:r>
        <w:rPr>
          <w:rFonts w:ascii="宋体" w:hAnsi="宋体"/>
          <w:color w:val="auto"/>
          <w:sz w:val="28"/>
          <w:szCs w:val="28"/>
          <w:highlight w:val="none"/>
        </w:rPr>
        <w:t>均真实有效。由于我方提供</w:t>
      </w:r>
      <w:r>
        <w:rPr>
          <w:rFonts w:hint="eastAsia" w:ascii="宋体" w:hAnsi="宋体"/>
          <w:color w:val="auto"/>
          <w:sz w:val="28"/>
          <w:szCs w:val="28"/>
          <w:highlight w:val="none"/>
        </w:rPr>
        <w:t>材料</w:t>
      </w:r>
      <w:r>
        <w:rPr>
          <w:rFonts w:ascii="宋体" w:hAnsi="宋体"/>
          <w:color w:val="auto"/>
          <w:sz w:val="28"/>
          <w:szCs w:val="28"/>
          <w:highlight w:val="none"/>
        </w:rPr>
        <w:t>不实而造成的责任和后果由我方承担。我方同意按照贵部要求，提供与招标有关数据或信息。</w:t>
      </w:r>
      <w:r>
        <w:rPr>
          <w:rFonts w:hint="eastAsia" w:ascii="宋体" w:hAnsi="宋体"/>
          <w:color w:val="auto"/>
          <w:sz w:val="28"/>
          <w:szCs w:val="28"/>
          <w:highlight w:val="none"/>
        </w:rPr>
        <w:t>我方承诺完全按照投标文件有关内容履约。</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六、</w:t>
      </w:r>
      <w:r>
        <w:rPr>
          <w:rFonts w:ascii="宋体" w:hAnsi="宋体"/>
          <w:color w:val="auto"/>
          <w:sz w:val="28"/>
          <w:szCs w:val="28"/>
          <w:highlight w:val="none"/>
        </w:rPr>
        <w:t>我方承诺自愿遵守</w:t>
      </w:r>
      <w:r>
        <w:rPr>
          <w:rFonts w:hint="eastAsia" w:ascii="宋体" w:hAnsi="宋体"/>
          <w:color w:val="auto"/>
          <w:sz w:val="28"/>
          <w:szCs w:val="28"/>
          <w:highlight w:val="none"/>
        </w:rPr>
        <w:t>、</w:t>
      </w:r>
      <w:r>
        <w:rPr>
          <w:rFonts w:ascii="宋体" w:hAnsi="宋体"/>
          <w:color w:val="auto"/>
          <w:sz w:val="28"/>
          <w:szCs w:val="28"/>
          <w:highlight w:val="none"/>
        </w:rPr>
        <w:t>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s="宋体"/>
          <w:bCs/>
          <w:color w:val="auto"/>
          <w:sz w:val="28"/>
          <w:szCs w:val="28"/>
          <w:highlight w:val="none"/>
        </w:rPr>
        <w:t>七、</w:t>
      </w:r>
      <w:r>
        <w:rPr>
          <w:rFonts w:ascii="宋体" w:hAnsi="宋体"/>
          <w:color w:val="auto"/>
          <w:sz w:val="28"/>
          <w:szCs w:val="28"/>
          <w:highlight w:val="none"/>
        </w:rPr>
        <w:t>联系方式</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联 系 人：</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电话：</w:t>
      </w:r>
      <w:r>
        <w:rPr>
          <w:rFonts w:ascii="宋体" w:hAnsi="宋体"/>
          <w:color w:val="auto"/>
          <w:sz w:val="28"/>
          <w:szCs w:val="28"/>
          <w:highlight w:val="none"/>
          <w:u w:val="single"/>
        </w:rPr>
        <w:t xml:space="preserve">        </w:t>
      </w:r>
      <w:r>
        <w:rPr>
          <w:rFonts w:ascii="宋体" w:hAnsi="宋体"/>
          <w:color w:val="auto"/>
          <w:sz w:val="28"/>
          <w:szCs w:val="28"/>
          <w:highlight w:val="none"/>
        </w:rPr>
        <w:t>传真：</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地    址：</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邮政编码：</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开户名称：</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开户银行：</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银行账号：</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1372" w:firstLineChars="490"/>
        <w:rPr>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460" w:lineRule="exact"/>
        <w:ind w:firstLine="200"/>
        <w:jc w:val="right"/>
        <w:rPr>
          <w:rFonts w:ascii="黑体" w:hAnsi="黑体" w:eastAsia="黑体"/>
          <w:color w:val="auto"/>
          <w:sz w:val="36"/>
          <w:szCs w:val="36"/>
          <w:highlight w:val="none"/>
          <w:lang w:val="zh-CN"/>
        </w:rPr>
      </w:pPr>
    </w:p>
    <w:p>
      <w:pPr>
        <w:pStyle w:val="6"/>
        <w:spacing w:before="120" w:beforeLines="50" w:after="120" w:afterLines="50" w:line="560" w:lineRule="exact"/>
        <w:ind w:firstLine="0" w:firstLineChars="0"/>
        <w:rPr>
          <w:rFonts w:ascii="黑体" w:hAnsi="黑体"/>
          <w:b w:val="0"/>
          <w:color w:val="auto"/>
          <w:highlight w:val="none"/>
        </w:rPr>
      </w:pPr>
      <w:bookmarkStart w:id="373" w:name="_Toc121471726"/>
      <w:bookmarkStart w:id="374" w:name="_Toc30079"/>
      <w:bookmarkStart w:id="375" w:name="_Toc23181"/>
      <w:bookmarkStart w:id="376" w:name="_Toc29773"/>
      <w:bookmarkStart w:id="377" w:name="_Toc14963"/>
      <w:bookmarkStart w:id="378" w:name="_Toc112681817"/>
      <w:bookmarkStart w:id="379" w:name="_Toc121471725"/>
      <w:bookmarkStart w:id="380" w:name="_Toc22387"/>
      <w:bookmarkStart w:id="381" w:name="_Toc18216"/>
      <w:r>
        <w:rPr>
          <w:rFonts w:hint="eastAsia" w:ascii="黑体" w:hAnsi="黑体"/>
          <w:b w:val="0"/>
          <w:color w:val="auto"/>
          <w:highlight w:val="none"/>
        </w:rPr>
        <w:t>附件</w:t>
      </w:r>
      <w:r>
        <w:rPr>
          <w:rFonts w:ascii="黑体" w:hAnsi="黑体"/>
          <w:b w:val="0"/>
          <w:color w:val="auto"/>
          <w:highlight w:val="none"/>
        </w:rPr>
        <w:t xml:space="preserve">2-5 </w:t>
      </w:r>
      <w:r>
        <w:rPr>
          <w:rFonts w:hint="eastAsia" w:ascii="黑体" w:hAnsi="黑体"/>
          <w:b w:val="0"/>
          <w:color w:val="auto"/>
          <w:highlight w:val="none"/>
        </w:rPr>
        <w:t>商务条款响应偏离表</w:t>
      </w:r>
      <w:bookmarkEnd w:id="373"/>
      <w:bookmarkEnd w:id="374"/>
      <w:bookmarkEnd w:id="375"/>
      <w:bookmarkEnd w:id="37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1275"/>
        <w:gridCol w:w="993"/>
        <w:gridCol w:w="212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商务响应</w:t>
            </w:r>
          </w:p>
        </w:tc>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212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134" w:type="dxa"/>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spacing w:line="560" w:lineRule="exact"/>
        <w:ind w:firstLine="560" w:firstLineChars="200"/>
        <w:rPr>
          <w:rFonts w:ascii="宋体" w:hAnsi="宋体"/>
          <w:color w:val="auto"/>
          <w:sz w:val="28"/>
          <w:szCs w:val="28"/>
          <w:highlight w:val="none"/>
        </w:rPr>
      </w:pPr>
    </w:p>
    <w:p>
      <w:pPr>
        <w:spacing w:line="560" w:lineRule="exact"/>
        <w:ind w:firstLine="3693" w:firstLineChars="1319"/>
        <w:rPr>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rFonts w:ascii="黑体" w:hAnsi="黑体"/>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377"/>
      <w:bookmarkEnd w:id="378"/>
      <w:bookmarkEnd w:id="379"/>
      <w:bookmarkEnd w:id="380"/>
      <w:bookmarkEnd w:id="38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rPr>
          <w:color w:val="auto"/>
          <w:sz w:val="28"/>
          <w:szCs w:val="28"/>
          <w:highlight w:val="none"/>
        </w:rPr>
      </w:pPr>
      <w:r>
        <w:rPr>
          <w:rFonts w:hint="eastAsia"/>
          <w:color w:val="auto"/>
          <w:sz w:val="28"/>
          <w:szCs w:val="28"/>
          <w:highlight w:val="none"/>
        </w:rPr>
        <w:t>项目名称：</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rFonts w:ascii="宋体" w:hAnsi="宋体"/>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134"/>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技术要求</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98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spacing w:line="560" w:lineRule="exact"/>
        <w:ind w:firstLine="200"/>
        <w:rPr>
          <w:color w:val="auto"/>
          <w:sz w:val="28"/>
          <w:szCs w:val="28"/>
          <w:highlight w:val="none"/>
        </w:rPr>
      </w:pPr>
    </w:p>
    <w:p>
      <w:pPr>
        <w:spacing w:line="560" w:lineRule="exact"/>
        <w:ind w:firstLine="200"/>
        <w:rPr>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righ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rFonts w:ascii="黑体" w:hAnsi="黑体"/>
          <w:b w:val="0"/>
          <w:color w:val="auto"/>
          <w:highlight w:val="none"/>
        </w:rPr>
      </w:pPr>
      <w:r>
        <w:rPr>
          <w:rFonts w:hint="eastAsia" w:ascii="黑体" w:hAnsi="黑体"/>
          <w:b w:val="0"/>
          <w:color w:val="auto"/>
          <w:highlight w:val="none"/>
        </w:rPr>
        <w:t>附件</w:t>
      </w:r>
      <w:r>
        <w:rPr>
          <w:rFonts w:ascii="黑体" w:hAnsi="黑体"/>
          <w:b w:val="0"/>
          <w:color w:val="auto"/>
          <w:highlight w:val="none"/>
        </w:rPr>
        <w:t xml:space="preserve">2-7 </w:t>
      </w:r>
      <w:r>
        <w:rPr>
          <w:rFonts w:hint="eastAsia" w:ascii="黑体" w:hAnsi="黑体"/>
          <w:b w:val="0"/>
          <w:color w:val="auto"/>
          <w:highlight w:val="none"/>
        </w:rPr>
        <w:t>交付清单</w:t>
      </w:r>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629"/>
        <w:gridCol w:w="1413"/>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交付内容</w:t>
            </w:r>
          </w:p>
        </w:tc>
        <w:tc>
          <w:tcPr>
            <w:tcW w:w="1629"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交付时间</w:t>
            </w:r>
          </w:p>
        </w:tc>
        <w:tc>
          <w:tcPr>
            <w:tcW w:w="1413"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560" w:lineRule="exact"/>
              <w:jc w:val="center"/>
              <w:rPr>
                <w:snapToGrid w:val="0"/>
                <w:color w:val="auto"/>
                <w:sz w:val="24"/>
                <w:highlight w:val="none"/>
              </w:rPr>
            </w:pPr>
            <w:r>
              <w:rPr>
                <w:rFonts w:hint="eastAsia"/>
                <w:snapToGrid w:val="0"/>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trPr>
        <w:tc>
          <w:tcPr>
            <w:tcW w:w="9958" w:type="dxa"/>
            <w:gridSpan w:val="7"/>
            <w:tcBorders>
              <w:top w:val="single" w:color="000000" w:sz="4" w:space="0"/>
              <w:left w:val="single" w:color="000000" w:sz="4" w:space="0"/>
              <w:bottom w:val="single" w:color="000000" w:sz="4" w:space="0"/>
            </w:tcBorders>
            <w:vAlign w:val="center"/>
          </w:tcPr>
          <w:p>
            <w:pPr>
              <w:spacing w:line="3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spacing w:line="560" w:lineRule="exact"/>
        <w:ind w:firstLine="200"/>
        <w:rPr>
          <w:snapToGrid w:val="0"/>
          <w:color w:val="auto"/>
          <w:sz w:val="32"/>
          <w:szCs w:val="32"/>
          <w:highlight w:val="none"/>
        </w:rPr>
      </w:pPr>
    </w:p>
    <w:p>
      <w:pPr>
        <w:autoSpaceDE w:val="0"/>
        <w:autoSpaceDN w:val="0"/>
        <w:adjustRightInd w:val="0"/>
        <w:spacing w:line="560" w:lineRule="exact"/>
        <w:ind w:firstLine="352" w:firstLineChars="168"/>
        <w:rPr>
          <w:snapToGrid w:val="0"/>
          <w:color w:val="auto"/>
          <w:highlight w:val="none"/>
          <w:lang w:val="zh-CN"/>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right"/>
        <w:rPr>
          <w:color w:val="auto"/>
          <w:highlight w:val="none"/>
        </w:rPr>
      </w:pPr>
    </w:p>
    <w:p>
      <w:pPr>
        <w:ind w:left="175"/>
        <w:jc w:val="center"/>
        <w:rPr>
          <w:snapToGrid w:val="0"/>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382" w:name="_Hlk118904802"/>
      <w:bookmarkStart w:id="383" w:name="_Toc121471728"/>
      <w:bookmarkStart w:id="384" w:name="_Toc19149"/>
      <w:bookmarkStart w:id="385" w:name="_Toc28264"/>
      <w:bookmarkStart w:id="386" w:name="_Toc14369"/>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w:t>
      </w:r>
      <w:bookmarkEnd w:id="382"/>
      <w:r>
        <w:rPr>
          <w:rFonts w:hint="eastAsia"/>
          <w:b w:val="0"/>
          <w:color w:val="auto"/>
          <w:highlight w:val="none"/>
        </w:rPr>
        <w:t>附件</w:t>
      </w:r>
      <w:r>
        <w:rPr>
          <w:b w:val="0"/>
          <w:color w:val="auto"/>
          <w:highlight w:val="none"/>
        </w:rPr>
        <w:t>2-8</w:t>
      </w:r>
      <w:r>
        <w:rPr>
          <w:rFonts w:hint="eastAsia"/>
          <w:b w:val="0"/>
          <w:color w:val="auto"/>
          <w:highlight w:val="none"/>
        </w:rPr>
        <w:t>服务方案</w:t>
      </w:r>
      <w:bookmarkEnd w:id="383"/>
      <w:bookmarkEnd w:id="384"/>
      <w:bookmarkEnd w:id="385"/>
      <w:bookmarkEnd w:id="38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widowControl/>
        <w:spacing w:line="560" w:lineRule="exact"/>
        <w:ind w:firstLine="560" w:firstLineChars="200"/>
        <w:rPr>
          <w:iCs/>
          <w:color w:val="auto"/>
          <w:sz w:val="28"/>
          <w:szCs w:val="28"/>
          <w:highlight w:val="none"/>
        </w:rPr>
      </w:pPr>
      <w:r>
        <w:rPr>
          <w:rFonts w:hint="eastAsia"/>
          <w:iCs/>
          <w:color w:val="auto"/>
          <w:sz w:val="28"/>
          <w:szCs w:val="28"/>
          <w:highlight w:val="none"/>
        </w:rPr>
        <w:t>（由投标供应商根据项目需求及技术评审表中的评审细则，自行拟定）</w:t>
      </w: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pStyle w:val="6"/>
        <w:spacing w:before="120" w:beforeLines="50" w:after="120" w:afterLines="50" w:line="560" w:lineRule="exact"/>
        <w:ind w:left="510" w:firstLine="0" w:firstLineChars="0"/>
        <w:rPr>
          <w:b w:val="0"/>
          <w:color w:val="auto"/>
          <w:highlight w:val="none"/>
        </w:rPr>
      </w:pPr>
      <w:r>
        <w:rPr>
          <w:b w:val="0"/>
          <w:color w:val="auto"/>
          <w:highlight w:val="none"/>
          <w:lang w:val="zh-CN"/>
        </w:rPr>
        <w:br w:type="page"/>
      </w:r>
      <w:bookmarkStart w:id="387" w:name="_Toc15048"/>
      <w:bookmarkStart w:id="388" w:name="_Toc121471729"/>
      <w:bookmarkStart w:id="389" w:name="_Toc26888"/>
      <w:bookmarkStart w:id="390" w:name="_Toc9967"/>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同类项目业绩</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同类项目业绩</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52"/>
        <w:gridCol w:w="1091"/>
        <w:gridCol w:w="1065"/>
        <w:gridCol w:w="1701"/>
        <w:gridCol w:w="992"/>
        <w:gridCol w:w="1559"/>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w:t>
            </w:r>
          </w:p>
          <w:p>
            <w:pPr>
              <w:spacing w:line="360" w:lineRule="exact"/>
              <w:jc w:val="center"/>
              <w:rPr>
                <w:rFonts w:ascii="宋体" w:hAnsi="宋体"/>
                <w:color w:val="auto"/>
                <w:sz w:val="24"/>
                <w:highlight w:val="none"/>
              </w:rPr>
            </w:pPr>
            <w:r>
              <w:rPr>
                <w:rFonts w:hint="eastAsia" w:ascii="宋体" w:hAnsi="宋体"/>
                <w:color w:val="auto"/>
                <w:sz w:val="24"/>
                <w:highlight w:val="none"/>
              </w:rPr>
              <w:t>内容</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合同有效金额</w:t>
            </w:r>
          </w:p>
          <w:p>
            <w:pPr>
              <w:spacing w:line="360" w:lineRule="exact"/>
              <w:jc w:val="center"/>
              <w:rPr>
                <w:rFonts w:ascii="宋体" w:hAnsi="宋体"/>
                <w:color w:val="auto"/>
                <w:sz w:val="24"/>
                <w:highlight w:val="none"/>
              </w:rPr>
            </w:pPr>
            <w:r>
              <w:rPr>
                <w:rFonts w:hint="eastAsia" w:ascii="宋体" w:hAnsi="宋体"/>
                <w:color w:val="auto"/>
                <w:sz w:val="24"/>
                <w:highlight w:val="none"/>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签订</w:t>
            </w:r>
          </w:p>
          <w:p>
            <w:pPr>
              <w:spacing w:line="360" w:lineRule="exact"/>
              <w:jc w:val="center"/>
              <w:rPr>
                <w:rFonts w:ascii="宋体" w:hAnsi="宋体"/>
                <w:color w:val="auto"/>
                <w:sz w:val="24"/>
                <w:highlight w:val="none"/>
              </w:rPr>
            </w:pPr>
            <w:r>
              <w:rPr>
                <w:rFonts w:hint="eastAsia" w:ascii="宋体" w:hAnsi="宋体"/>
                <w:color w:val="auto"/>
                <w:sz w:val="24"/>
                <w:highlight w:val="none"/>
              </w:rPr>
              <w:t>日期</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用户联系人</w:t>
            </w:r>
          </w:p>
          <w:p>
            <w:pPr>
              <w:spacing w:line="360" w:lineRule="exact"/>
              <w:jc w:val="center"/>
              <w:rPr>
                <w:rFonts w:ascii="宋体" w:hAnsi="宋体"/>
                <w:color w:val="auto"/>
                <w:sz w:val="24"/>
                <w:highlight w:val="none"/>
              </w:rPr>
            </w:pPr>
            <w:r>
              <w:rPr>
                <w:rFonts w:hint="eastAsia" w:ascii="宋体" w:hAnsi="宋体"/>
                <w:color w:val="auto"/>
                <w:sz w:val="24"/>
                <w:highlight w:val="none"/>
              </w:rPr>
              <w:t>及电话</w:t>
            </w: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合计</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0"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spacing w:line="360" w:lineRule="exact"/>
              <w:ind w:firstLine="480" w:firstLineChars="200"/>
              <w:rPr>
                <w:rFonts w:ascii="宋体" w:hAnsi="宋体"/>
                <w:i/>
                <w:iCs/>
                <w:color w:val="auto"/>
                <w:sz w:val="24"/>
                <w:highlight w:val="none"/>
              </w:rPr>
            </w:pPr>
            <w:r>
              <w:rPr>
                <w:rFonts w:ascii="宋体" w:hAnsi="宋体"/>
                <w:i/>
                <w:iCs/>
                <w:color w:val="auto"/>
                <w:sz w:val="24"/>
                <w:highlight w:val="none"/>
              </w:rPr>
              <w:t>1.</w:t>
            </w:r>
            <w:r>
              <w:rPr>
                <w:rFonts w:hint="eastAsia" w:ascii="宋体" w:hAnsi="宋体"/>
                <w:i/>
                <w:iCs/>
                <w:color w:val="auto"/>
                <w:sz w:val="24"/>
                <w:highlight w:val="none"/>
              </w:rPr>
              <w:t>本表内容根据服务项目实际调整。</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2.同类项目指本次招标的</w:t>
            </w:r>
            <w:r>
              <w:rPr>
                <w:rFonts w:hint="eastAsia" w:ascii="宋体" w:hAnsi="宋体" w:cs="宋体"/>
                <w:color w:val="auto"/>
                <w:sz w:val="24"/>
                <w:highlight w:val="none"/>
              </w:rPr>
              <w:t>服务或同类服务，</w:t>
            </w:r>
            <w:r>
              <w:rPr>
                <w:rFonts w:ascii="宋体" w:hAnsi="宋体" w:cs="宋体"/>
                <w:color w:val="auto"/>
                <w:sz w:val="24"/>
                <w:highlight w:val="none"/>
              </w:rPr>
              <w:t>具体在评审标准中明确范围。合同有效金额是指合同中</w:t>
            </w:r>
            <w:r>
              <w:rPr>
                <w:rFonts w:hint="eastAsia" w:ascii="宋体" w:hAnsi="宋体" w:cs="宋体"/>
                <w:color w:val="auto"/>
                <w:sz w:val="24"/>
                <w:highlight w:val="none"/>
              </w:rPr>
              <w:t>本次招标</w:t>
            </w:r>
            <w:r>
              <w:rPr>
                <w:rFonts w:ascii="宋体" w:hAnsi="宋体" w:cs="宋体"/>
                <w:color w:val="auto"/>
                <w:sz w:val="24"/>
                <w:highlight w:val="none"/>
              </w:rPr>
              <w:t>的</w:t>
            </w:r>
            <w:r>
              <w:rPr>
                <w:rFonts w:hint="eastAsia" w:ascii="宋体" w:hAnsi="宋体" w:cs="宋体"/>
                <w:color w:val="auto"/>
                <w:sz w:val="24"/>
                <w:highlight w:val="none"/>
              </w:rPr>
              <w:t>相同服务或同类服务</w:t>
            </w:r>
            <w:r>
              <w:rPr>
                <w:rFonts w:ascii="宋体" w:hAnsi="宋体" w:cs="宋体"/>
                <w:color w:val="auto"/>
                <w:sz w:val="24"/>
                <w:highlight w:val="none"/>
              </w:rPr>
              <w:t>金额。</w:t>
            </w:r>
            <w:r>
              <w:rPr>
                <w:rFonts w:hint="eastAsia" w:ascii="黑体" w:hAnsi="黑体" w:eastAsia="黑体" w:cs="宋体"/>
                <w:color w:val="auto"/>
                <w:sz w:val="24"/>
                <w:highlight w:val="none"/>
              </w:rPr>
              <w:t>该表严格按照《商务评审标准表》明确的相关要求填报。</w:t>
            </w:r>
          </w:p>
          <w:p>
            <w:pPr>
              <w:pStyle w:val="17"/>
              <w:spacing w:after="0"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bCs/>
                <w:color w:val="auto"/>
                <w:sz w:val="24"/>
                <w:highlight w:val="none"/>
              </w:rPr>
              <w:t>服务内容</w:t>
            </w:r>
            <w:r>
              <w:rPr>
                <w:rFonts w:hint="eastAsia" w:ascii="宋体" w:hAnsi="宋体"/>
                <w:color w:val="auto"/>
                <w:sz w:val="24"/>
                <w:highlight w:val="none"/>
              </w:rPr>
              <w:t>包括同类项目，服务名称等</w:t>
            </w:r>
            <w:r>
              <w:rPr>
                <w:rFonts w:hint="eastAsia" w:ascii="宋体" w:hAnsi="宋体"/>
                <w:bCs/>
                <w:color w:val="auto"/>
                <w:sz w:val="24"/>
                <w:highlight w:val="none"/>
              </w:rPr>
              <w:t>。</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4.“页码”栏中填写</w:t>
            </w:r>
            <w:r>
              <w:rPr>
                <w:rFonts w:hint="eastAsia" w:ascii="宋体" w:hAnsi="宋体" w:cs="宋体"/>
                <w:bCs/>
                <w:color w:val="auto"/>
                <w:sz w:val="24"/>
                <w:highlight w:val="none"/>
              </w:rPr>
              <w:t>业绩材料</w:t>
            </w:r>
            <w:r>
              <w:rPr>
                <w:rFonts w:ascii="宋体" w:hAnsi="宋体" w:cs="宋体"/>
                <w:color w:val="auto"/>
                <w:sz w:val="24"/>
                <w:highlight w:val="none"/>
              </w:rPr>
              <w:t>所在“商务技术文件”中的页码位置。</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合同</w:t>
            </w:r>
            <w:r>
              <w:rPr>
                <w:rFonts w:hint="eastAsia" w:ascii="宋体" w:hAnsi="宋体" w:cs="宋体"/>
                <w:bCs/>
                <w:color w:val="auto"/>
                <w:sz w:val="24"/>
                <w:highlight w:val="none"/>
              </w:rPr>
              <w:t>缔约方</w:t>
            </w:r>
            <w:r>
              <w:rPr>
                <w:rFonts w:ascii="宋体" w:hAnsi="宋体" w:cs="宋体"/>
                <w:color w:val="auto"/>
                <w:sz w:val="24"/>
                <w:highlight w:val="none"/>
              </w:rPr>
              <w:t>存在控股</w:t>
            </w:r>
            <w:r>
              <w:rPr>
                <w:rFonts w:hint="eastAsia" w:ascii="宋体" w:hAnsi="宋体" w:cs="宋体"/>
                <w:bCs/>
                <w:color w:val="auto"/>
                <w:sz w:val="24"/>
                <w:highlight w:val="none"/>
              </w:rPr>
              <w:t>或</w:t>
            </w:r>
            <w:r>
              <w:rPr>
                <w:rFonts w:ascii="宋体" w:hAnsi="宋体" w:cs="宋体"/>
                <w:color w:val="auto"/>
                <w:sz w:val="24"/>
                <w:highlight w:val="none"/>
              </w:rPr>
              <w:t>管理关系</w:t>
            </w:r>
            <w:r>
              <w:rPr>
                <w:rFonts w:hint="eastAsia" w:ascii="宋体" w:hAnsi="宋体" w:cs="宋体"/>
                <w:color w:val="auto"/>
                <w:sz w:val="24"/>
                <w:highlight w:val="none"/>
              </w:rPr>
              <w:t>的，该</w:t>
            </w:r>
            <w:r>
              <w:rPr>
                <w:rFonts w:ascii="宋体" w:hAnsi="宋体" w:cs="宋体"/>
                <w:color w:val="auto"/>
                <w:sz w:val="24"/>
                <w:highlight w:val="none"/>
              </w:rPr>
              <w:t>合同无效。</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6.投标供应商提供虚假合同的，按虚假投标处理。</w:t>
            </w:r>
          </w:p>
          <w:p>
            <w:pPr>
              <w:spacing w:line="360" w:lineRule="exact"/>
              <w:ind w:firstLine="480" w:firstLineChars="200"/>
              <w:rPr>
                <w:rFonts w:ascii="宋体" w:hAnsi="宋体"/>
                <w:color w:val="auto"/>
                <w:sz w:val="24"/>
                <w:highlight w:val="none"/>
              </w:rPr>
            </w:pPr>
            <w:r>
              <w:rPr>
                <w:rFonts w:ascii="宋体" w:hAnsi="宋体" w:cs="宋体"/>
                <w:bCs/>
                <w:color w:val="auto"/>
                <w:sz w:val="24"/>
                <w:highlight w:val="none"/>
              </w:rPr>
              <w:t>7.</w:t>
            </w:r>
            <w:r>
              <w:rPr>
                <w:rFonts w:hint="eastAsia" w:ascii="宋体" w:hAnsi="宋体" w:cs="宋体"/>
                <w:bCs/>
                <w:color w:val="auto"/>
                <w:sz w:val="24"/>
                <w:highlight w:val="none"/>
              </w:rPr>
              <w:t>合同中涉及总价、单价、规格、缔约方签字盖章等关键信息</w:t>
            </w:r>
            <w:r>
              <w:rPr>
                <w:rFonts w:hint="eastAsia"/>
                <w:color w:val="auto"/>
                <w:sz w:val="24"/>
                <w:highlight w:val="none"/>
              </w:rPr>
              <w:t>应当</w:t>
            </w:r>
            <w:r>
              <w:rPr>
                <w:rFonts w:hint="eastAsia" w:ascii="宋体" w:hAnsi="宋体" w:cs="宋体"/>
                <w:bCs/>
                <w:color w:val="auto"/>
                <w:sz w:val="24"/>
                <w:highlight w:val="none"/>
              </w:rPr>
              <w:t>清晰可辨，否则视为无效合同。</w:t>
            </w:r>
          </w:p>
        </w:tc>
      </w:tr>
    </w:tbl>
    <w:p>
      <w:pPr>
        <w:pStyle w:val="17"/>
        <w:rPr>
          <w:color w:val="auto"/>
          <w:highlight w:val="none"/>
        </w:rPr>
      </w:pPr>
    </w:p>
    <w:p>
      <w:pPr>
        <w:rPr>
          <w:color w:val="auto"/>
          <w:highlight w:val="none"/>
        </w:rPr>
      </w:pPr>
    </w:p>
    <w:p>
      <w:pPr>
        <w:spacing w:line="560" w:lineRule="exact"/>
        <w:ind w:firstLine="560" w:firstLineChars="200"/>
        <w:jc w:val="right"/>
        <w:rPr>
          <w:rFonts w:eastAsia="黑体"/>
          <w:color w:val="auto"/>
          <w:sz w:val="28"/>
          <w:szCs w:val="28"/>
          <w:highlight w:val="none"/>
        </w:rPr>
      </w:pPr>
      <w:r>
        <w:rPr>
          <w:color w:val="auto"/>
          <w:sz w:val="28"/>
          <w:szCs w:val="28"/>
          <w:highlight w:val="none"/>
          <w:lang w:val="zh-CN"/>
        </w:rPr>
        <w:t xml:space="preserve">                    </w:t>
      </w:r>
    </w:p>
    <w:bookmarkEnd w:id="387"/>
    <w:bookmarkEnd w:id="388"/>
    <w:bookmarkEnd w:id="389"/>
    <w:bookmarkEnd w:id="390"/>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391" w:name="_Toc22155"/>
      <w:bookmarkStart w:id="392" w:name="_Toc24717"/>
      <w:bookmarkStart w:id="393" w:name="_Toc121471732"/>
      <w:bookmarkStart w:id="394" w:name="_Toc26318"/>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2-10 </w:t>
      </w:r>
      <w:r>
        <w:rPr>
          <w:rFonts w:hint="eastAsia"/>
          <w:b w:val="0"/>
          <w:color w:val="auto"/>
          <w:highlight w:val="none"/>
        </w:rPr>
        <w:t>财务社保数据统计表</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3419"/>
        <w:gridCol w:w="993"/>
        <w:gridCol w:w="992"/>
        <w:gridCol w:w="992"/>
        <w:gridCol w:w="1276"/>
        <w:gridCol w:w="1701"/>
      </w:tblGrid>
      <w:tr>
        <w:tblPrEx>
          <w:tblCellMar>
            <w:top w:w="0" w:type="dxa"/>
            <w:left w:w="0" w:type="dxa"/>
            <w:bottom w:w="0" w:type="dxa"/>
            <w:right w:w="0" w:type="dxa"/>
          </w:tblCellMar>
        </w:tblPrEx>
        <w:trPr>
          <w:trHeight w:val="855"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ind w:left="240" w:hanging="240" w:hangingChars="100"/>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58240" behindDoc="0" locked="0" layoutInCell="1" allowOverlap="1">
                      <wp:simplePos x="0" y="0"/>
                      <wp:positionH relativeFrom="column">
                        <wp:posOffset>16510</wp:posOffset>
                      </wp:positionH>
                      <wp:positionV relativeFrom="paragraph">
                        <wp:posOffset>17780</wp:posOffset>
                      </wp:positionV>
                      <wp:extent cx="2139950" cy="519430"/>
                      <wp:effectExtent l="0" t="0" r="31750" b="33020"/>
                      <wp:wrapNone/>
                      <wp:docPr id="8" name="直接箭头连接符 8"/>
                      <wp:cNvGraphicFramePr/>
                      <a:graphic xmlns:a="http://schemas.openxmlformats.org/drawingml/2006/main">
                        <a:graphicData uri="http://schemas.microsoft.com/office/word/2010/wordprocessingShape">
                          <wps:wsp>
                            <wps:cNvCnPr>
                              <a:cxnSpLocks noChangeShapeType="1"/>
                            </wps:cNvCnPr>
                            <wps:spPr bwMode="auto">
                              <a:xfrm>
                                <a:off x="0" y="0"/>
                                <a:ext cx="2139950" cy="51943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pt;margin-top:1.4pt;height:40.9pt;width:168.5pt;z-index:251658240;mso-width-relative:page;mso-height-relative:page;" filled="f" stroked="t" coordsize="21600,21600" o:gfxdata="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5bmLNUAAAAGAQAADwAAAAAAAAABACAAAAAiAAAAZHJzL2Rvd25yZXYueG1s&#10;UEsBAhQAFAAAAAgAh07iQMZjBWj7AQAAwwMAAA4AAAAAAAAAAQAgAAAAJAEAAGRycy9lMm9Eb2Mu&#10;eG1sUEsFBgAAAAAGAAYAWQEAAJEFAAAAAA==&#10;">
                      <v:fill on="f" focussize="0,0"/>
                      <v:stroke color="#000000" joinstyle="round"/>
                      <v:imagedata o:title=""/>
                      <o:lock v:ext="edit" aspectratio="f"/>
                    </v:shape>
                  </w:pict>
                </mc:Fallback>
              </mc:AlternateConten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度</w:t>
            </w:r>
          </w:p>
          <w:p>
            <w:pPr>
              <w:spacing w:line="360" w:lineRule="exact"/>
              <w:ind w:firstLine="240" w:firstLineChars="100"/>
              <w:rPr>
                <w:rFonts w:ascii="宋体" w:hAnsi="宋体"/>
                <w:color w:val="auto"/>
                <w:sz w:val="24"/>
                <w:highlight w:val="none"/>
              </w:rPr>
            </w:pPr>
            <w:r>
              <w:rPr>
                <w:rFonts w:hint="eastAsia" w:ascii="宋体" w:hAnsi="宋体"/>
                <w:color w:val="auto"/>
                <w:sz w:val="24"/>
                <w:highlight w:val="none"/>
              </w:rPr>
              <w:t>数据项目</w:t>
            </w:r>
          </w:p>
        </w:tc>
        <w:tc>
          <w:tcPr>
            <w:tcW w:w="993"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992"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992"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3年平均数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bCs/>
                <w:color w:val="auto"/>
                <w:sz w:val="24"/>
                <w:highlight w:val="none"/>
              </w:rPr>
              <w:t>文件名称∕页码</w:t>
            </w:r>
          </w:p>
        </w:tc>
      </w:tr>
      <w:tr>
        <w:tblPrEx>
          <w:tblCellMar>
            <w:top w:w="0" w:type="dxa"/>
            <w:left w:w="0" w:type="dxa"/>
            <w:bottom w:w="0" w:type="dxa"/>
            <w:right w:w="0" w:type="dxa"/>
          </w:tblCellMar>
        </w:tblPrEx>
        <w:trPr>
          <w:trHeight w:val="549"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资产总额（万元）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43"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净资产（万元）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1"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净利润（万元）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9"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主营业务收入（万元）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39"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资产负债率</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88"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年度纳税总金额（万元）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27"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年度缴纳社保金额（万元）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40"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年度缴纳社保人数</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63"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年度人均社保金额（元）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947"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14"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※人均社保金额</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2713"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pStyle w:val="17"/>
              <w:spacing w:after="0" w:line="360" w:lineRule="exact"/>
              <w:ind w:firstLine="480" w:firstLineChars="200"/>
              <w:rPr>
                <w:color w:val="auto"/>
                <w:highlight w:val="none"/>
              </w:rPr>
            </w:pPr>
            <w:r>
              <w:rPr>
                <w:rFonts w:hint="eastAsia" w:ascii="宋体" w:hAnsi="宋体"/>
                <w:i/>
                <w:iCs/>
                <w:color w:val="auto"/>
                <w:sz w:val="24"/>
                <w:highlight w:val="none"/>
              </w:rPr>
              <w:t>1</w:t>
            </w:r>
            <w:r>
              <w:rPr>
                <w:rFonts w:ascii="宋体" w:hAnsi="宋体"/>
                <w:i/>
                <w:iCs/>
                <w:color w:val="auto"/>
                <w:sz w:val="24"/>
                <w:highlight w:val="none"/>
              </w:rPr>
              <w:t>.</w:t>
            </w:r>
            <w:r>
              <w:rPr>
                <w:rFonts w:hint="eastAsia" w:ascii="宋体" w:hAnsi="宋体"/>
                <w:i/>
                <w:iCs/>
                <w:color w:val="auto"/>
                <w:sz w:val="24"/>
                <w:highlight w:val="none"/>
              </w:rPr>
              <w:t>采购机构根据评审标准具体内容确定本表具体项目。</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“页码”栏中填写数据所在《</w:t>
            </w:r>
            <w:r>
              <w:rPr>
                <w:rFonts w:hint="eastAsia" w:ascii="宋体" w:hAnsi="宋体"/>
                <w:bCs/>
                <w:color w:val="auto"/>
                <w:sz w:val="24"/>
                <w:highlight w:val="none"/>
              </w:rPr>
              <w:t>商务技术文件</w:t>
            </w:r>
            <w:r>
              <w:rPr>
                <w:rFonts w:hint="eastAsia" w:ascii="宋体" w:hAnsi="宋体"/>
                <w:color w:val="auto"/>
                <w:sz w:val="24"/>
                <w:highlight w:val="none"/>
              </w:rPr>
              <w:t>》或《资格证明文件》中的页码位置。</w:t>
            </w:r>
          </w:p>
          <w:p>
            <w:pPr>
              <w:spacing w:line="360" w:lineRule="exact"/>
              <w:ind w:firstLine="480" w:firstLineChars="200"/>
              <w:rPr>
                <w:rFonts w:ascii="宋体" w:hAnsi="宋体" w:cs="宋体"/>
                <w:color w:val="auto"/>
                <w:sz w:val="24"/>
                <w:highlight w:val="none"/>
              </w:rPr>
            </w:pPr>
            <w:r>
              <w:rPr>
                <w:rFonts w:ascii="宋体" w:hAnsi="宋体"/>
                <w:color w:val="auto"/>
                <w:sz w:val="24"/>
                <w:highlight w:val="none"/>
              </w:rPr>
              <w:t>4.</w:t>
            </w:r>
            <w:r>
              <w:rPr>
                <w:rFonts w:hint="eastAsia" w:ascii="宋体" w:hAnsi="宋体"/>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2-11 </w:t>
      </w:r>
      <w:r>
        <w:rPr>
          <w:rFonts w:hint="eastAsia"/>
          <w:b w:val="0"/>
          <w:color w:val="auto"/>
          <w:highlight w:val="none"/>
        </w:rPr>
        <w:t>其他</w:t>
      </w:r>
      <w:r>
        <w:rPr>
          <w:rFonts w:hint="eastAsia" w:ascii="宋体" w:hAnsi="宋体"/>
          <w:b w:val="0"/>
          <w:color w:val="auto"/>
          <w:highlight w:val="none"/>
        </w:rPr>
        <w:t>材料</w:t>
      </w:r>
      <w:bookmarkEnd w:id="391"/>
      <w:bookmarkEnd w:id="392"/>
      <w:bookmarkEnd w:id="393"/>
      <w:bookmarkEnd w:id="39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ind w:left="175"/>
        <w:jc w:val="center"/>
        <w:rPr>
          <w:color w:val="auto"/>
          <w:sz w:val="28"/>
          <w:szCs w:val="28"/>
          <w:highlight w:val="none"/>
        </w:rPr>
      </w:pPr>
      <w:r>
        <w:rPr>
          <w:rFonts w:hint="eastAsia"/>
          <w:color w:val="auto"/>
          <w:sz w:val="28"/>
          <w:szCs w:val="28"/>
          <w:highlight w:val="none"/>
        </w:rPr>
        <w:t>（投标供应商根据评审内容，自行添加其他资料）</w:t>
      </w: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spacing w:before="1200" w:beforeLines="500" w:after="960" w:afterLines="400"/>
        <w:rPr>
          <w:color w:val="auto"/>
          <w:sz w:val="48"/>
          <w:szCs w:val="48"/>
          <w:highlight w:val="none"/>
        </w:rPr>
        <w:sectPr>
          <w:pgSz w:w="11906" w:h="16838"/>
          <w:pgMar w:top="1418" w:right="1134" w:bottom="1418" w:left="1418" w:header="851" w:footer="851" w:gutter="0"/>
          <w:cols w:space="720" w:num="1"/>
          <w:docGrid w:linePitch="388" w:charSpace="-1260"/>
        </w:sectPr>
      </w:pP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395" w:name="_Toc132398792"/>
      <w:r>
        <w:rPr>
          <w:rFonts w:hint="eastAsia" w:ascii="方正小标宋简体" w:eastAsia="方正小标宋简体"/>
          <w:b w:val="0"/>
          <w:color w:val="auto"/>
          <w:sz w:val="52"/>
          <w:szCs w:val="52"/>
          <w:highlight w:val="none"/>
        </w:rPr>
        <w:t>三、资格证明文件</w:t>
      </w:r>
      <w:bookmarkEnd w:id="39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ascii="方正小标宋简体" w:eastAsia="方正小标宋简体"/>
          <w:b w:val="0"/>
          <w:color w:val="auto"/>
          <w:highlight w:val="none"/>
          <w:lang w:val="zh-CN"/>
        </w:rPr>
        <w:br w:type="page"/>
      </w:r>
      <w:bookmarkStart w:id="396" w:name="_Toc8518"/>
      <w:bookmarkStart w:id="397" w:name="_Toc10596"/>
      <w:bookmarkStart w:id="398" w:name="_Toc121471734"/>
      <w:bookmarkStart w:id="399" w:name="_Toc8073"/>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396"/>
      <w:bookmarkEnd w:id="397"/>
      <w:bookmarkEnd w:id="398"/>
      <w:bookmarkEnd w:id="39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投标供应商务必在资格证明文件正文前制作本索引表。</w:t>
      </w:r>
    </w:p>
    <w:tbl>
      <w:tblPr>
        <w:tblStyle w:val="42"/>
        <w:tblW w:w="4860" w:type="pct"/>
        <w:jc w:val="center"/>
        <w:tblLayout w:type="autofit"/>
        <w:tblCellMar>
          <w:top w:w="0" w:type="dxa"/>
          <w:left w:w="108" w:type="dxa"/>
          <w:bottom w:w="0" w:type="dxa"/>
          <w:right w:w="108" w:type="dxa"/>
        </w:tblCellMar>
      </w:tblPr>
      <w:tblGrid>
        <w:gridCol w:w="1096"/>
        <w:gridCol w:w="5401"/>
        <w:gridCol w:w="2805"/>
      </w:tblGrid>
      <w:tr>
        <w:tblPrEx>
          <w:tblCellMar>
            <w:top w:w="0" w:type="dxa"/>
            <w:left w:w="108" w:type="dxa"/>
            <w:bottom w:w="0" w:type="dxa"/>
            <w:right w:w="108" w:type="dxa"/>
          </w:tblCellMar>
        </w:tblPrEx>
        <w:trPr>
          <w:trHeight w:val="549" w:hRule="atLeast"/>
          <w:jc w:val="center"/>
        </w:trPr>
        <w:tc>
          <w:tcPr>
            <w:tcW w:w="589"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903"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资格性审查</w:t>
            </w:r>
            <w:r>
              <w:rPr>
                <w:rFonts w:hint="eastAsia" w:ascii="宋体" w:hAnsi="宋体"/>
                <w:color w:val="auto"/>
                <w:sz w:val="24"/>
                <w:highlight w:val="none"/>
              </w:rPr>
              <w:t>项目</w:t>
            </w:r>
          </w:p>
        </w:tc>
        <w:tc>
          <w:tcPr>
            <w:tcW w:w="1508"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资格证明文件</w:t>
            </w:r>
          </w:p>
          <w:p>
            <w:pPr>
              <w:spacing w:line="360" w:lineRule="exact"/>
              <w:jc w:val="center"/>
              <w:rPr>
                <w:rFonts w:ascii="宋体" w:hAnsi="宋体"/>
                <w:color w:val="auto"/>
                <w:sz w:val="24"/>
                <w:highlight w:val="none"/>
              </w:rPr>
            </w:pPr>
            <w:r>
              <w:rPr>
                <w:rFonts w:hint="eastAsia" w:ascii="宋体" w:hAnsi="宋体"/>
                <w:color w:val="auto"/>
                <w:sz w:val="24"/>
                <w:highlight w:val="none"/>
              </w:rPr>
              <w:t>位置页码</w:t>
            </w:r>
          </w:p>
        </w:tc>
      </w:tr>
      <w:tr>
        <w:tblPrEx>
          <w:tblCellMar>
            <w:top w:w="0" w:type="dxa"/>
            <w:left w:w="108" w:type="dxa"/>
            <w:bottom w:w="0" w:type="dxa"/>
            <w:right w:w="108" w:type="dxa"/>
          </w:tblCellMar>
        </w:tblPrEx>
        <w:trPr>
          <w:trHeight w:val="605" w:hRule="atLeast"/>
          <w:jc w:val="center"/>
        </w:trPr>
        <w:tc>
          <w:tcPr>
            <w:tcW w:w="589"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903"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一般资格性审查内容</w:t>
            </w: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290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特定资格性审查内容</w:t>
            </w:r>
          </w:p>
        </w:tc>
        <w:tc>
          <w:tcPr>
            <w:tcW w:w="150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90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9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9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9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5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134"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rPr>
          <w:color w:val="auto"/>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400" w:name="_Toc9352"/>
      <w:bookmarkStart w:id="401" w:name="_Toc29736"/>
      <w:bookmarkStart w:id="402" w:name="_Toc121471735"/>
      <w:bookmarkStart w:id="403" w:name="_Toc30845"/>
      <w:r>
        <w:rPr>
          <w:rFonts w:hint="eastAsia"/>
          <w:b w:val="0"/>
          <w:color w:val="auto"/>
          <w:highlight w:val="none"/>
        </w:rPr>
        <w:t>附件</w:t>
      </w:r>
      <w:r>
        <w:rPr>
          <w:b w:val="0"/>
          <w:color w:val="auto"/>
          <w:highlight w:val="none"/>
        </w:rPr>
        <w:t>3-2</w:t>
      </w:r>
      <w:r>
        <w:rPr>
          <w:rFonts w:hint="eastAsia"/>
          <w:b w:val="0"/>
          <w:color w:val="auto"/>
          <w:highlight w:val="none"/>
        </w:rPr>
        <w:t>工商营业执照、组织机构代码证、税务登记证</w:t>
      </w:r>
      <w:bookmarkEnd w:id="400"/>
      <w:bookmarkEnd w:id="401"/>
      <w:bookmarkEnd w:id="402"/>
      <w:bookmarkEnd w:id="40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404" w:name="_Toc21326"/>
      <w:bookmarkStart w:id="405" w:name="_Toc31972"/>
      <w:bookmarkStart w:id="406" w:name="_Toc121471736"/>
      <w:bookmarkStart w:id="407" w:name="_Toc5621"/>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404"/>
      <w:bookmarkEnd w:id="405"/>
      <w:bookmarkEnd w:id="406"/>
      <w:bookmarkEnd w:id="40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jc w:val="center"/>
        <w:rPr>
          <w:rFonts w:eastAsia="华文中宋"/>
          <w:bCs/>
          <w:color w:val="auto"/>
          <w:sz w:val="44"/>
          <w:highlight w:val="none"/>
        </w:rPr>
      </w:pPr>
    </w:p>
    <w:p>
      <w:pPr>
        <w:ind w:firstLine="560" w:firstLineChars="200"/>
        <w:rPr>
          <w:rFonts w:eastAsia="楷体_GB2312"/>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（投标供应商全称）</w:t>
      </w:r>
      <w:r>
        <w:rPr>
          <w:rFonts w:hint="eastAsia"/>
          <w:color w:val="auto"/>
          <w:sz w:val="28"/>
          <w:szCs w:val="28"/>
          <w:highlight w:val="none"/>
        </w:rPr>
        <w:t>的法定代表人。</w:t>
      </w:r>
    </w:p>
    <w:p>
      <w:pPr>
        <w:ind w:firstLine="560" w:firstLineChars="20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特此证明</w:t>
      </w:r>
    </w:p>
    <w:p>
      <w:pPr>
        <w:rPr>
          <w:color w:val="auto"/>
          <w:sz w:val="28"/>
          <w:szCs w:val="28"/>
          <w:highlight w:val="none"/>
        </w:rPr>
      </w:pPr>
      <w:r>
        <w:rPr>
          <w:color w:val="auto"/>
          <w:sz w:val="28"/>
          <w:szCs w:val="28"/>
          <w:highlight w:val="none"/>
        </w:rPr>
        <mc:AlternateContent>
          <mc:Choice Requires="wps">
            <w:drawing>
              <wp:anchor distT="0" distB="0" distL="114300" distR="114300" simplePos="0" relativeHeight="251656192" behindDoc="0" locked="0" layoutInCell="1" allowOverlap="1">
                <wp:simplePos x="0" y="0"/>
                <wp:positionH relativeFrom="column">
                  <wp:posOffset>2952750</wp:posOffset>
                </wp:positionH>
                <wp:positionV relativeFrom="paragraph">
                  <wp:posOffset>60325</wp:posOffset>
                </wp:positionV>
                <wp:extent cx="2169160" cy="1125855"/>
                <wp:effectExtent l="0" t="0" r="2159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6916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2.5pt;margin-top:4.75pt;height:88.65pt;width:170.8pt;z-index:251656192;v-text-anchor:middle;mso-width-relative:page;mso-height-relative:page;" fillcolor="#FFFFFF" filled="t" stroked="t" coordsize="21600,21600" o:gfxdata="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QDLn8dUAAAAJAQAADwAAAAAA&#10;AAABACAAAAAiAAAAZHJzL2Rvd25yZXYueG1sUEsBAhQAFAAAAAgAh07iQMyNpLV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4144"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4144;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w:t>
      </w:r>
      <w:r>
        <w:rPr>
          <w:rFonts w:hint="eastAsia" w:ascii="宋体" w:hAnsi="宋体"/>
          <w:color w:val="auto"/>
          <w:sz w:val="28"/>
          <w:szCs w:val="28"/>
          <w:highlight w:val="none"/>
        </w:rPr>
        <w:t>应当</w:t>
      </w:r>
      <w:r>
        <w:rPr>
          <w:rFonts w:hint="eastAsia"/>
          <w:color w:val="auto"/>
          <w:sz w:val="28"/>
          <w:szCs w:val="28"/>
          <w:highlight w:val="none"/>
        </w:rPr>
        <w:t>清晰可辨，否则</w:t>
      </w:r>
      <w:r>
        <w:rPr>
          <w:rFonts w:hint="eastAsia"/>
          <w:bCs/>
          <w:color w:val="auto"/>
          <w:sz w:val="28"/>
          <w:szCs w:val="28"/>
          <w:highlight w:val="none"/>
        </w:rPr>
        <w:t>视为无效</w:t>
      </w:r>
      <w:r>
        <w:rPr>
          <w:rFonts w:hint="eastAsia"/>
          <w:color w:val="auto"/>
          <w:sz w:val="28"/>
          <w:szCs w:val="28"/>
          <w:highlight w:val="none"/>
        </w:rPr>
        <w:t>投标。</w:t>
      </w:r>
    </w:p>
    <w:p>
      <w:pPr>
        <w:ind w:firstLine="4900" w:firstLineChars="1750"/>
        <w:rPr>
          <w:color w:val="auto"/>
          <w:sz w:val="28"/>
          <w:szCs w:val="28"/>
          <w:highlight w:val="none"/>
        </w:rPr>
      </w:pPr>
    </w:p>
    <w:p>
      <w:pPr>
        <w:ind w:firstLine="4900" w:firstLineChars="1750"/>
        <w:rPr>
          <w:color w:val="auto"/>
          <w:sz w:val="28"/>
          <w:szCs w:val="28"/>
          <w:highlight w:val="none"/>
        </w:rPr>
      </w:pPr>
    </w:p>
    <w:p>
      <w:pPr>
        <w:rPr>
          <w:color w:val="auto"/>
          <w:sz w:val="28"/>
          <w:szCs w:val="28"/>
          <w:highlight w:val="none"/>
        </w:rPr>
      </w:pPr>
    </w:p>
    <w:p>
      <w:pPr>
        <w:spacing w:line="360" w:lineRule="auto"/>
        <w:jc w:val="center"/>
        <w:rPr>
          <w:color w:val="auto"/>
          <w:sz w:val="28"/>
          <w:szCs w:val="28"/>
          <w:highlight w:val="none"/>
        </w:rPr>
      </w:pPr>
      <w:r>
        <w:rPr>
          <w:rFonts w:hint="eastAsia"/>
          <w:color w:val="auto"/>
          <w:sz w:val="28"/>
          <w:szCs w:val="28"/>
          <w:highlight w:val="none"/>
        </w:rPr>
        <w:t>投标供应商全称：（盖章）</w:t>
      </w:r>
    </w:p>
    <w:p>
      <w:pPr>
        <w:spacing w:line="360" w:lineRule="auto"/>
        <w:ind w:right="1120" w:firstLine="2520" w:firstLineChars="9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408" w:name="_Toc121471737"/>
      <w:bookmarkStart w:id="409" w:name="_Toc19129"/>
      <w:bookmarkStart w:id="410" w:name="_Toc19716"/>
      <w:bookmarkStart w:id="411" w:name="_Toc16540"/>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408"/>
      <w:bookmarkEnd w:id="409"/>
      <w:bookmarkEnd w:id="410"/>
      <w:bookmarkEnd w:id="41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ascii="宋体" w:hAnsi="宋体"/>
          <w:color w:val="auto"/>
          <w:sz w:val="28"/>
          <w:szCs w:val="28"/>
          <w:highlight w:val="none"/>
          <w:u w:val="single"/>
        </w:rPr>
        <w:t>（投标供应商全称）</w:t>
      </w:r>
      <w:r>
        <w:rPr>
          <w:rFonts w:hint="eastAsia" w:ascii="宋体" w:hAnsi="宋体"/>
          <w:color w:val="auto"/>
          <w:sz w:val="28"/>
          <w:szCs w:val="28"/>
          <w:highlight w:val="none"/>
        </w:rPr>
        <w:t>法定代表人</w:t>
      </w:r>
      <w:r>
        <w:rPr>
          <w:rFonts w:hint="eastAsia" w:ascii="宋体" w:hAnsi="宋体"/>
          <w:color w:val="auto"/>
          <w:sz w:val="28"/>
          <w:szCs w:val="28"/>
          <w:highlight w:val="none"/>
          <w:u w:val="single"/>
        </w:rPr>
        <w:t>（姓名、职务）</w:t>
      </w:r>
      <w:r>
        <w:rPr>
          <w:rFonts w:hint="eastAsia" w:ascii="宋体" w:hAnsi="宋体"/>
          <w:color w:val="auto"/>
          <w:sz w:val="28"/>
          <w:szCs w:val="28"/>
          <w:highlight w:val="none"/>
        </w:rPr>
        <w:t>授权</w:t>
      </w:r>
      <w:r>
        <w:rPr>
          <w:rFonts w:hint="eastAsia" w:ascii="宋体" w:hAnsi="宋体"/>
          <w:color w:val="auto"/>
          <w:sz w:val="28"/>
          <w:szCs w:val="28"/>
          <w:highlight w:val="none"/>
          <w:u w:val="single"/>
        </w:rPr>
        <w:t>（授权代表姓名、职务）</w:t>
      </w:r>
      <w:r>
        <w:rPr>
          <w:rFonts w:hint="eastAsia" w:ascii="宋体" w:hAnsi="宋体"/>
          <w:color w:val="auto"/>
          <w:sz w:val="28"/>
          <w:szCs w:val="28"/>
          <w:highlight w:val="none"/>
        </w:rPr>
        <w:t>为全权代表，参加贵部组织的项目编号为</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的</w:t>
      </w:r>
      <w:r>
        <w:rPr>
          <w:rFonts w:hint="eastAsia" w:ascii="宋体" w:hAnsi="宋体"/>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600"/>
        <w:rPr>
          <w:color w:val="auto"/>
          <w:sz w:val="28"/>
          <w:szCs w:val="28"/>
          <w:highlight w:val="none"/>
        </w:rPr>
      </w:pPr>
    </w:p>
    <w:p>
      <w:pPr>
        <w:spacing w:line="560" w:lineRule="exact"/>
        <w:ind w:firstLine="3640" w:firstLineChars="1300"/>
        <w:rPr>
          <w:color w:val="auto"/>
          <w:sz w:val="28"/>
          <w:szCs w:val="28"/>
          <w:highlight w:val="none"/>
        </w:rPr>
      </w:pPr>
      <w:r>
        <w:rPr>
          <w:rFonts w:hint="eastAsia"/>
          <w:color w:val="auto"/>
          <w:sz w:val="28"/>
          <w:szCs w:val="28"/>
          <w:highlight w:val="none"/>
        </w:rPr>
        <w:t>投标供应商全称：（盖章）</w:t>
      </w: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spacing w:line="560" w:lineRule="exact"/>
        <w:jc w:val="center"/>
        <w:rPr>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授权代表：（签字）</w:t>
      </w:r>
    </w:p>
    <w:p>
      <w:pPr>
        <w:spacing w:line="560" w:lineRule="exact"/>
        <w:ind w:left="3177" w:leftChars="1513" w:right="1120" w:firstLine="280" w:firstLineChars="100"/>
        <w:rPr>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w:t>
      </w: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rPr>
          <w:color w:val="auto"/>
          <w:sz w:val="28"/>
          <w:szCs w:val="28"/>
          <w:highlight w:val="none"/>
        </w:rPr>
      </w:pPr>
      <w:r>
        <w:rPr>
          <w:rFonts w:hint="eastAsia"/>
          <w:color w:val="auto"/>
          <w:sz w:val="28"/>
          <w:szCs w:val="28"/>
          <w:highlight w:val="none"/>
        </w:rPr>
        <w:t>附：</w:t>
      </w:r>
    </w:p>
    <w:p>
      <w:pPr>
        <w:spacing w:line="560" w:lineRule="exact"/>
        <w:ind w:firstLine="573"/>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73"/>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573"/>
        <w:rPr>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2879090</wp:posOffset>
                </wp:positionH>
                <wp:positionV relativeFrom="paragraph">
                  <wp:posOffset>113030</wp:posOffset>
                </wp:positionV>
                <wp:extent cx="2189480" cy="1086485"/>
                <wp:effectExtent l="0" t="0" r="20320" b="1841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189480" cy="108648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7pt;margin-top:8.9pt;height:85.55pt;width:172.4pt;z-index:251662336;v-text-anchor:middle;mso-width-relative:page;mso-height-relative:page;" fillcolor="#FFFFFF" filled="t" stroked="t" coordsize="21600,21600" o:gfxdata="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XWlDv1wAAAAoBAAAPAAAA&#10;AAAAAAEAIAAAACIAAABkcnMvZG93bnJldi54bWxQSwECFAAUAAAACACHTuJAiwrUUE8CAACiBAAA&#10;DgAAAAAAAAABACAAAAAmAQAAZHJzL2Uyb0RvYy54bWxQSwUGAAAAAAYABgBZAQAA5w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392430</wp:posOffset>
                </wp:positionH>
                <wp:positionV relativeFrom="paragraph">
                  <wp:posOffset>121285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55pt;height:85.15pt;width:176.45pt;z-index:251660288;v-text-anchor:middle;mso-width-relative:page;mso-height-relative:page;" fillcolor="#FFFFFF" filled="t" stroked="t" coordsize="21600,21600"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aF/3NUAAAAJAQAADwAAAAAA&#10;AAABACAAAAAiAAAAZHJzL2Rvd25yZXYueG1sUEsBAhQAFAAAAAgAh07iQK2Fzb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color w:val="auto"/>
          <w:highlight w:val="none"/>
        </w:rPr>
      </w:pPr>
    </w:p>
    <w:p>
      <w:pPr>
        <w:spacing w:line="560" w:lineRule="exact"/>
        <w:ind w:firstLine="573"/>
        <w:rPr>
          <w:color w:val="auto"/>
          <w:highlight w:val="none"/>
        </w:rPr>
      </w:pPr>
    </w:p>
    <w:p>
      <w:pPr>
        <w:ind w:firstLine="420" w:firstLineChars="15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投标。</w:t>
      </w:r>
    </w:p>
    <w:p>
      <w:pPr>
        <w:spacing w:line="560" w:lineRule="exact"/>
        <w:ind w:firstLine="573"/>
        <w:rPr>
          <w:color w:val="auto"/>
          <w:highlight w:val="none"/>
          <w:lang w:val="zh-CN"/>
        </w:rPr>
      </w:pPr>
      <w:r>
        <w:rPr>
          <w:rFonts w:hint="eastAsia" w:ascii="黑体" w:hAnsi="黑体" w:eastAsia="黑体"/>
          <w:color w:val="auto"/>
          <w:sz w:val="28"/>
          <w:highlight w:val="none"/>
        </w:rPr>
        <w:t>注：</w:t>
      </w:r>
      <w:r>
        <w:rPr>
          <w:rFonts w:hint="eastAsia" w:ascii="黑体" w:hAnsi="黑体" w:eastAsia="黑体" w:cs="宋体"/>
          <w:bCs/>
          <w:color w:val="auto"/>
          <w:sz w:val="28"/>
          <w:szCs w:val="28"/>
          <w:highlight w:val="none"/>
        </w:rPr>
        <w:t>授权书后应当</w:t>
      </w:r>
      <w:r>
        <w:rPr>
          <w:rFonts w:hint="eastAsia" w:ascii="黑体" w:hAnsi="黑体" w:eastAsia="黑体"/>
          <w:color w:val="auto"/>
          <w:sz w:val="28"/>
          <w:highlight w:val="none"/>
        </w:rPr>
        <w:t>附授权代表在投标前</w:t>
      </w:r>
      <w:r>
        <w:rPr>
          <w:rFonts w:hint="eastAsia" w:ascii="黑体" w:hAnsi="黑体" w:eastAsia="黑体"/>
          <w:color w:val="auto"/>
          <w:sz w:val="28"/>
          <w:highlight w:val="none"/>
          <w:lang w:eastAsia="zh-CN"/>
        </w:rPr>
        <w:t>近</w:t>
      </w:r>
      <w:r>
        <w:rPr>
          <w:rFonts w:hint="eastAsia" w:ascii="黑体" w:hAnsi="黑体" w:eastAsia="黑体"/>
          <w:color w:val="auto"/>
          <w:sz w:val="28"/>
          <w:highlight w:val="none"/>
          <w:lang w:val="en-US" w:eastAsia="zh-CN"/>
        </w:rPr>
        <w:t>1</w:t>
      </w:r>
      <w:r>
        <w:rPr>
          <w:rFonts w:hint="eastAsia" w:ascii="黑体" w:hAnsi="黑体" w:eastAsia="黑体"/>
          <w:color w:val="auto"/>
          <w:sz w:val="28"/>
          <w:highlight w:val="none"/>
          <w:lang w:eastAsia="zh-CN"/>
        </w:rPr>
        <w:t>年</w:t>
      </w:r>
      <w:r>
        <w:rPr>
          <w:rFonts w:hint="eastAsia" w:ascii="黑体" w:hAnsi="黑体" w:eastAsia="黑体"/>
          <w:color w:val="auto"/>
          <w:sz w:val="28"/>
          <w:highlight w:val="none"/>
        </w:rPr>
        <w:t>内</w:t>
      </w:r>
      <w:r>
        <w:rPr>
          <w:rFonts w:hint="eastAsia" w:ascii="黑体" w:hAnsi="黑体" w:eastAsia="黑体"/>
          <w:color w:val="auto"/>
          <w:sz w:val="28"/>
          <w:highlight w:val="none"/>
          <w:lang w:eastAsia="zh-CN"/>
        </w:rPr>
        <w:t>任意</w:t>
      </w:r>
      <w:r>
        <w:rPr>
          <w:rFonts w:hint="eastAsia" w:ascii="黑体" w:hAnsi="黑体" w:eastAsia="黑体"/>
          <w:color w:val="auto"/>
          <w:sz w:val="28"/>
          <w:highlight w:val="none"/>
          <w:lang w:val="en-US" w:eastAsia="zh-CN"/>
        </w:rPr>
        <w:t>1</w:t>
      </w:r>
      <w:r>
        <w:rPr>
          <w:rFonts w:hint="eastAsia" w:ascii="黑体" w:hAnsi="黑体" w:eastAsia="黑体"/>
          <w:color w:val="auto"/>
          <w:sz w:val="28"/>
          <w:highlight w:val="none"/>
        </w:rPr>
        <w:t>个月由投标供应商缴纳社保证明材料。</w:t>
      </w:r>
    </w:p>
    <w:p>
      <w:pPr>
        <w:jc w:val="center"/>
        <w:rPr>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412" w:name="_Toc15689"/>
      <w:bookmarkStart w:id="413" w:name="_Toc8224"/>
      <w:bookmarkStart w:id="414" w:name="_Toc9355"/>
      <w:bookmarkStart w:id="415" w:name="_Toc121471738"/>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412"/>
      <w:bookmarkEnd w:id="413"/>
      <w:bookmarkEnd w:id="414"/>
      <w:bookmarkEnd w:id="41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Theme="minorEastAsia" w:hAnsiTheme="minorEastAsia" w:eastAsiaTheme="minorEastAsia"/>
          <w:color w:val="auto"/>
          <w:kern w:val="0"/>
          <w:sz w:val="28"/>
          <w:szCs w:val="28"/>
          <w:highlight w:val="none"/>
          <w:u w:val="single"/>
        </w:rPr>
      </w:pPr>
      <w:r>
        <w:rPr>
          <w:rFonts w:asciiTheme="minorEastAsia" w:hAnsiTheme="minorEastAsia" w:eastAsiaTheme="minorEastAsia"/>
          <w:color w:val="auto"/>
          <w:kern w:val="0"/>
          <w:sz w:val="28"/>
          <w:szCs w:val="28"/>
          <w:highlight w:val="none"/>
          <w:u w:val="single"/>
        </w:rPr>
        <w:t>（采购机构名称）：</w:t>
      </w:r>
    </w:p>
    <w:p>
      <w:pPr>
        <w:tabs>
          <w:tab w:val="left" w:pos="771"/>
        </w:tabs>
        <w:spacing w:line="560" w:lineRule="exact"/>
        <w:ind w:firstLine="560" w:firstLineChars="200"/>
        <w:rPr>
          <w:rFonts w:ascii="宋体" w:hAnsi="宋体"/>
          <w:color w:val="auto"/>
          <w:sz w:val="28"/>
          <w:szCs w:val="28"/>
          <w:highlight w:val="none"/>
        </w:rPr>
      </w:pPr>
      <w:r>
        <w:rPr>
          <w:rFonts w:hint="eastAsia" w:asciiTheme="minorEastAsia" w:hAnsiTheme="minorEastAsia" w:eastAsiaTheme="minorEastAsia"/>
          <w:color w:val="auto"/>
          <w:sz w:val="28"/>
          <w:szCs w:val="28"/>
          <w:highlight w:val="none"/>
        </w:rPr>
        <w:t>我单位自愿参加</w:t>
      </w:r>
      <w:r>
        <w:rPr>
          <w:rFonts w:hint="eastAsia" w:ascii="宋体" w:hAnsi="宋体"/>
          <w:color w:val="auto"/>
          <w:sz w:val="28"/>
          <w:szCs w:val="28"/>
          <w:highlight w:val="none"/>
        </w:rPr>
        <w:t>贵部组织的（</w:t>
      </w:r>
      <w:r>
        <w:rPr>
          <w:rFonts w:hint="eastAsia" w:ascii="宋体" w:hAnsi="宋体"/>
          <w:color w:val="auto"/>
          <w:sz w:val="28"/>
          <w:szCs w:val="28"/>
          <w:highlight w:val="none"/>
          <w:u w:val="single"/>
        </w:rPr>
        <w:t>项目名称</w:t>
      </w:r>
      <w:r>
        <w:rPr>
          <w:rFonts w:hint="eastAsia" w:ascii="宋体" w:hAnsi="宋体"/>
          <w:color w:val="auto"/>
          <w:sz w:val="28"/>
          <w:szCs w:val="28"/>
          <w:highlight w:val="none"/>
        </w:rPr>
        <w:t>）、（</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）采购活动，承诺声明如下：</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3.</w:t>
      </w:r>
      <w:r>
        <w:rPr>
          <w:rFonts w:hint="eastAsia" w:ascii="宋体" w:hAnsi="宋体"/>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olor w:val="auto"/>
          <w:sz w:val="28"/>
          <w:szCs w:val="28"/>
          <w:highlight w:val="none"/>
          <w:lang w:val="zh-CN"/>
        </w:rPr>
        <w:t>不违规记录、存储、复制本次采购项目相关信息。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严格遵守《供应商诚信承诺》，若受到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w:t>
      </w:r>
      <w:r>
        <w:rPr>
          <w:rFonts w:hint="eastAsia" w:ascii="宋体" w:hAnsi="宋体" w:cs="宋体"/>
          <w:color w:val="auto"/>
          <w:sz w:val="28"/>
          <w:szCs w:val="28"/>
          <w:highlight w:val="none"/>
          <w:lang w:bidi="ar"/>
        </w:rPr>
        <w:t>如恢复参加军队采购活动资格之日起</w:t>
      </w:r>
      <w:r>
        <w:rPr>
          <w:rFonts w:ascii="宋体" w:hAnsi="宋体" w:cs="宋体"/>
          <w:color w:val="auto"/>
          <w:sz w:val="28"/>
          <w:szCs w:val="28"/>
          <w:highlight w:val="none"/>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我单位在参加本次采购活动前</w:t>
      </w:r>
      <w:r>
        <w:rPr>
          <w:rFonts w:ascii="宋体" w:hAnsi="宋体"/>
          <w:color w:val="auto"/>
          <w:sz w:val="28"/>
          <w:szCs w:val="28"/>
          <w:highlight w:val="none"/>
        </w:rPr>
        <w:t>3</w:t>
      </w:r>
      <w:r>
        <w:rPr>
          <w:rFonts w:hint="eastAsia" w:ascii="宋体" w:hAnsi="宋体"/>
          <w:color w:val="auto"/>
          <w:sz w:val="28"/>
          <w:szCs w:val="28"/>
          <w:highlight w:val="none"/>
        </w:rPr>
        <w:t>年内</w:t>
      </w:r>
      <w:r>
        <w:rPr>
          <w:rFonts w:hint="eastAsia" w:ascii="宋体" w:hAnsi="宋体" w:cs="宋体"/>
          <w:bCs/>
          <w:color w:val="auto"/>
          <w:sz w:val="28"/>
          <w:szCs w:val="28"/>
          <w:highlight w:val="none"/>
        </w:rPr>
        <w:t>在经营活动中</w:t>
      </w:r>
      <w:r>
        <w:rPr>
          <w:rFonts w:hint="eastAsia" w:ascii="宋体" w:hAnsi="宋体"/>
          <w:color w:val="auto"/>
          <w:sz w:val="28"/>
          <w:szCs w:val="28"/>
          <w:highlight w:val="none"/>
        </w:rPr>
        <w:t>没有重大违法记录。</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autoSpaceDE w:val="0"/>
        <w:autoSpaceDN w:val="0"/>
        <w:adjustRightIn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如果我方违反上述承诺声明内容，愿意承担由此导致的一切不利后果和法律责任，</w:t>
      </w:r>
      <w:r>
        <w:rPr>
          <w:rFonts w:hint="eastAsia" w:ascii="宋体" w:hAnsi="宋体"/>
          <w:color w:val="auto"/>
          <w:sz w:val="28"/>
          <w:szCs w:val="28"/>
          <w:highlight w:val="none"/>
          <w:lang w:val="zh-CN"/>
        </w:rPr>
        <w:t>接受军队采购管理部门和采购机构按国家和军队有关法规</w:t>
      </w:r>
      <w:r>
        <w:rPr>
          <w:rFonts w:hint="eastAsia" w:ascii="宋体" w:hAnsi="宋体" w:cs="仿宋"/>
          <w:bCs/>
          <w:color w:val="auto"/>
          <w:sz w:val="28"/>
          <w:szCs w:val="28"/>
          <w:highlight w:val="none"/>
        </w:rPr>
        <w:t>作</w:t>
      </w:r>
      <w:r>
        <w:rPr>
          <w:rFonts w:hint="eastAsia" w:ascii="宋体" w:hAnsi="宋体"/>
          <w:color w:val="auto"/>
          <w:sz w:val="28"/>
          <w:szCs w:val="28"/>
          <w:highlight w:val="none"/>
          <w:lang w:val="zh-CN"/>
        </w:rPr>
        <w:t>出的相关处罚</w:t>
      </w:r>
      <w:r>
        <w:rPr>
          <w:rFonts w:hint="eastAsia" w:ascii="宋体" w:hAnsi="宋体"/>
          <w:color w:val="auto"/>
          <w:sz w:val="28"/>
          <w:szCs w:val="28"/>
          <w:highlight w:val="none"/>
        </w:rPr>
        <w:t>。</w:t>
      </w:r>
    </w:p>
    <w:p>
      <w:pPr>
        <w:widowControl/>
        <w:spacing w:line="560" w:lineRule="exact"/>
        <w:ind w:firstLine="560" w:firstLineChars="200"/>
        <w:rPr>
          <w:rFonts w:ascii="宋体" w:hAnsi="宋体"/>
          <w:color w:val="auto"/>
          <w:sz w:val="28"/>
          <w:szCs w:val="28"/>
          <w:highlight w:val="none"/>
          <w:lang w:val="zh-CN"/>
        </w:rPr>
      </w:pPr>
    </w:p>
    <w:p>
      <w:pPr>
        <w:widowControl/>
        <w:spacing w:line="560" w:lineRule="exact"/>
        <w:ind w:firstLine="560" w:firstLineChars="200"/>
        <w:rPr>
          <w:rFonts w:ascii="宋体" w:hAnsi="宋体"/>
          <w:color w:val="auto"/>
          <w:sz w:val="28"/>
          <w:szCs w:val="28"/>
          <w:highlight w:val="none"/>
          <w:lang w:val="zh-CN"/>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420" w:firstLineChars="200"/>
        <w:jc w:val="right"/>
        <w:rPr>
          <w:color w:val="auto"/>
          <w:sz w:val="44"/>
          <w:szCs w:val="44"/>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416" w:name="_Toc5346"/>
      <w:bookmarkStart w:id="417" w:name="_Toc9516"/>
      <w:bookmarkStart w:id="418" w:name="_Toc121471739"/>
      <w:bookmarkStart w:id="419" w:name="_Toc4050"/>
      <w:r>
        <w:rPr>
          <w:rFonts w:hint="eastAsia"/>
          <w:b w:val="0"/>
          <w:color w:val="auto"/>
          <w:highlight w:val="none"/>
        </w:rPr>
        <w:t>附件</w:t>
      </w:r>
      <w:r>
        <w:rPr>
          <w:b w:val="0"/>
          <w:color w:val="auto"/>
          <w:highlight w:val="none"/>
        </w:rPr>
        <w:t xml:space="preserve">3-6 </w:t>
      </w:r>
      <w:r>
        <w:rPr>
          <w:rFonts w:hint="eastAsia"/>
          <w:b w:val="0"/>
          <w:color w:val="auto"/>
          <w:highlight w:val="none"/>
        </w:rPr>
        <w:t>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3-7 </w:t>
      </w:r>
      <w:r>
        <w:rPr>
          <w:rFonts w:hint="eastAsia"/>
          <w:b w:val="0"/>
          <w:color w:val="auto"/>
          <w:highlight w:val="none"/>
          <w:lang w:val="zh-CN"/>
        </w:rPr>
        <w:t>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3-8 </w:t>
      </w:r>
      <w:r>
        <w:rPr>
          <w:rFonts w:hint="eastAsia"/>
          <w:b w:val="0"/>
          <w:color w:val="auto"/>
          <w:highlight w:val="none"/>
        </w:rPr>
        <w:t>近</w:t>
      </w:r>
      <w:r>
        <w:rPr>
          <w:rFonts w:hint="eastAsia"/>
          <w:b w:val="0"/>
          <w:color w:val="auto"/>
          <w:highlight w:val="none"/>
          <w:lang w:val="en-US" w:eastAsia="zh-CN"/>
        </w:rPr>
        <w:t>1</w:t>
      </w:r>
      <w:r>
        <w:rPr>
          <w:rFonts w:hint="eastAsia"/>
          <w:b w:val="0"/>
          <w:color w:val="auto"/>
          <w:highlight w:val="none"/>
        </w:rPr>
        <w:t>年会计师事务所出具的审计报告</w:t>
      </w:r>
      <w:bookmarkEnd w:id="416"/>
      <w:bookmarkEnd w:id="417"/>
      <w:bookmarkEnd w:id="418"/>
      <w:bookmarkEnd w:id="41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rPr>
        <w:t>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jc w:val="left"/>
        <w:rPr>
          <w:b w:val="0"/>
          <w:color w:val="auto"/>
          <w:highlight w:val="none"/>
        </w:rPr>
      </w:pPr>
      <w:bookmarkStart w:id="420" w:name="_Toc28510"/>
      <w:bookmarkStart w:id="421" w:name="_Toc546"/>
      <w:bookmarkStart w:id="422" w:name="_Toc7223"/>
      <w:bookmarkStart w:id="423" w:name="_Toc121471742"/>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420"/>
      <w:bookmarkEnd w:id="421"/>
      <w:bookmarkEnd w:id="422"/>
      <w:bookmarkEnd w:id="42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widowControl/>
        <w:jc w:val="left"/>
        <w:rPr>
          <w:color w:val="auto"/>
          <w:highlight w:val="none"/>
          <w:lang w:val="zh-CN"/>
        </w:rPr>
        <w:sectPr>
          <w:pgSz w:w="11906" w:h="16838"/>
          <w:pgMar w:top="1418" w:right="1134" w:bottom="1418" w:left="1418" w:header="851" w:footer="851" w:gutter="0"/>
          <w:cols w:space="720" w:num="1"/>
          <w:docGrid w:linePitch="388" w:charSpace="-1260"/>
        </w:sectPr>
      </w:pPr>
      <w:r>
        <w:rPr>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424" w:name="_Toc121471745"/>
      <w:bookmarkStart w:id="425" w:name="_Toc16255"/>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424"/>
      <w:bookmarkEnd w:id="42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spacing w:line="560" w:lineRule="exact"/>
        <w:jc w:val="center"/>
        <w:rPr>
          <w:color w:val="auto"/>
          <w:sz w:val="28"/>
          <w:szCs w:val="28"/>
          <w:highlight w:val="none"/>
        </w:rPr>
      </w:pPr>
      <w:bookmarkStart w:id="426" w:name="_Hlk127212564"/>
      <w:r>
        <w:rPr>
          <w:rFonts w:hint="eastAsia"/>
          <w:color w:val="auto"/>
          <w:sz w:val="28"/>
          <w:szCs w:val="28"/>
          <w:highlight w:val="none"/>
        </w:rPr>
        <w:t>（投标供应商根据招标文件规定的资格要求，自行添加其他资料）</w:t>
      </w:r>
      <w:bookmarkEnd w:id="426"/>
    </w:p>
    <w:sectPr>
      <w:headerReference r:id="rId9" w:type="default"/>
      <w:footerReference r:id="rId10"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5776456"/>
      <w:docPartObj>
        <w:docPartGallery w:val="autotext"/>
      </w:docPartObj>
    </w:sdtPr>
    <w:sdtContent>
      <w:p>
        <w:pPr>
          <w:pStyle w:val="27"/>
          <w:jc w:val="center"/>
        </w:pPr>
        <w:r>
          <w:fldChar w:fldCharType="begin"/>
        </w:r>
        <w:r>
          <w:instrText xml:space="preserve">PAGE   \* MERGEFORMAT</w:instrText>
        </w:r>
        <w:r>
          <w:fldChar w:fldCharType="separate"/>
        </w:r>
        <w:r>
          <w:rPr>
            <w:lang w:val="zh-CN"/>
          </w:rPr>
          <w:t>65</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0155849"/>
      <w:docPartObj>
        <w:docPartGallery w:val="autotext"/>
      </w:docPartObj>
    </w:sdtPr>
    <w:sdtContent>
      <w:p>
        <w:pPr>
          <w:pStyle w:val="27"/>
          <w:jc w:val="center"/>
        </w:pPr>
        <w:r>
          <w:fldChar w:fldCharType="begin"/>
        </w:r>
        <w:r>
          <w:instrText xml:space="preserve">PAGE   \* MERGEFORMAT</w:instrText>
        </w:r>
        <w:r>
          <w:fldChar w:fldCharType="separate"/>
        </w:r>
        <w:r>
          <w:rPr>
            <w:lang w:val="zh-CN"/>
          </w:rPr>
          <w:t>72</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bookmarkStart w:id="427" w:name="_Hlk118810623"/>
    <w:r>
      <w:rPr>
        <w:rFonts w:hint="eastAsia" w:ascii="楷体_GB2312" w:hAnsi="华文中宋" w:eastAsia="楷体_GB2312"/>
        <w:sz w:val="21"/>
        <w:szCs w:val="21"/>
      </w:rPr>
      <w:t>第一章 投标供应商须知</w:t>
    </w:r>
    <w:bookmarkEnd w:id="42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single" w:color="auto" w:sz="6" w:space="0"/>
      </w:pBdr>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8EF"/>
    <w:rsid w:val="00000A61"/>
    <w:rsid w:val="00000A83"/>
    <w:rsid w:val="000013FE"/>
    <w:rsid w:val="0000186F"/>
    <w:rsid w:val="00001A03"/>
    <w:rsid w:val="00002568"/>
    <w:rsid w:val="00002840"/>
    <w:rsid w:val="000037DE"/>
    <w:rsid w:val="00003D23"/>
    <w:rsid w:val="0000430D"/>
    <w:rsid w:val="00004EAF"/>
    <w:rsid w:val="00006552"/>
    <w:rsid w:val="000073F6"/>
    <w:rsid w:val="0001024D"/>
    <w:rsid w:val="00010382"/>
    <w:rsid w:val="00011195"/>
    <w:rsid w:val="00012976"/>
    <w:rsid w:val="00013365"/>
    <w:rsid w:val="00013466"/>
    <w:rsid w:val="00013574"/>
    <w:rsid w:val="0001373F"/>
    <w:rsid w:val="00013923"/>
    <w:rsid w:val="00014A82"/>
    <w:rsid w:val="00015858"/>
    <w:rsid w:val="00015A29"/>
    <w:rsid w:val="00015D56"/>
    <w:rsid w:val="0001617A"/>
    <w:rsid w:val="0001621B"/>
    <w:rsid w:val="00017581"/>
    <w:rsid w:val="000175E8"/>
    <w:rsid w:val="00017CF0"/>
    <w:rsid w:val="00017F9C"/>
    <w:rsid w:val="0002059C"/>
    <w:rsid w:val="000217CD"/>
    <w:rsid w:val="00023C06"/>
    <w:rsid w:val="00024092"/>
    <w:rsid w:val="00024403"/>
    <w:rsid w:val="00024C6B"/>
    <w:rsid w:val="00024E62"/>
    <w:rsid w:val="000252F0"/>
    <w:rsid w:val="00025908"/>
    <w:rsid w:val="00025EED"/>
    <w:rsid w:val="00027D0F"/>
    <w:rsid w:val="00030A53"/>
    <w:rsid w:val="00031705"/>
    <w:rsid w:val="00031BBE"/>
    <w:rsid w:val="00031C52"/>
    <w:rsid w:val="00031D66"/>
    <w:rsid w:val="00031DB7"/>
    <w:rsid w:val="00032D53"/>
    <w:rsid w:val="00032E73"/>
    <w:rsid w:val="000333AE"/>
    <w:rsid w:val="00033EFF"/>
    <w:rsid w:val="000340A4"/>
    <w:rsid w:val="00035663"/>
    <w:rsid w:val="000358FA"/>
    <w:rsid w:val="00035A0E"/>
    <w:rsid w:val="00035B05"/>
    <w:rsid w:val="00035B2B"/>
    <w:rsid w:val="00036496"/>
    <w:rsid w:val="00040247"/>
    <w:rsid w:val="00040313"/>
    <w:rsid w:val="00040E14"/>
    <w:rsid w:val="00041881"/>
    <w:rsid w:val="00041CC1"/>
    <w:rsid w:val="0004234C"/>
    <w:rsid w:val="00044006"/>
    <w:rsid w:val="0004444E"/>
    <w:rsid w:val="000446C9"/>
    <w:rsid w:val="00045122"/>
    <w:rsid w:val="00045855"/>
    <w:rsid w:val="00045AE0"/>
    <w:rsid w:val="00045B4B"/>
    <w:rsid w:val="000460A8"/>
    <w:rsid w:val="00046881"/>
    <w:rsid w:val="00047282"/>
    <w:rsid w:val="00047440"/>
    <w:rsid w:val="000474B5"/>
    <w:rsid w:val="00047568"/>
    <w:rsid w:val="0004759C"/>
    <w:rsid w:val="000477EE"/>
    <w:rsid w:val="00047F47"/>
    <w:rsid w:val="00047F88"/>
    <w:rsid w:val="0005019F"/>
    <w:rsid w:val="00050572"/>
    <w:rsid w:val="000508AD"/>
    <w:rsid w:val="0005168D"/>
    <w:rsid w:val="0005208E"/>
    <w:rsid w:val="000521A9"/>
    <w:rsid w:val="00052DBD"/>
    <w:rsid w:val="00053BE1"/>
    <w:rsid w:val="00053C94"/>
    <w:rsid w:val="00054473"/>
    <w:rsid w:val="00055020"/>
    <w:rsid w:val="000566BD"/>
    <w:rsid w:val="00056FFF"/>
    <w:rsid w:val="0005701C"/>
    <w:rsid w:val="000606A2"/>
    <w:rsid w:val="00060C04"/>
    <w:rsid w:val="0006124F"/>
    <w:rsid w:val="00061310"/>
    <w:rsid w:val="00061914"/>
    <w:rsid w:val="00062096"/>
    <w:rsid w:val="000620A1"/>
    <w:rsid w:val="000638C9"/>
    <w:rsid w:val="00064742"/>
    <w:rsid w:val="00064E81"/>
    <w:rsid w:val="00065B10"/>
    <w:rsid w:val="000662FC"/>
    <w:rsid w:val="0006632F"/>
    <w:rsid w:val="000666F2"/>
    <w:rsid w:val="0006712D"/>
    <w:rsid w:val="000675E6"/>
    <w:rsid w:val="000677C7"/>
    <w:rsid w:val="00067D0B"/>
    <w:rsid w:val="00067D60"/>
    <w:rsid w:val="000709FB"/>
    <w:rsid w:val="00070B21"/>
    <w:rsid w:val="00070F95"/>
    <w:rsid w:val="0007140C"/>
    <w:rsid w:val="00071F6E"/>
    <w:rsid w:val="00072573"/>
    <w:rsid w:val="00072BEA"/>
    <w:rsid w:val="00072E91"/>
    <w:rsid w:val="0007343D"/>
    <w:rsid w:val="00074523"/>
    <w:rsid w:val="000745C1"/>
    <w:rsid w:val="0007473A"/>
    <w:rsid w:val="00074CB8"/>
    <w:rsid w:val="00075FBC"/>
    <w:rsid w:val="00076502"/>
    <w:rsid w:val="000775DD"/>
    <w:rsid w:val="000777C0"/>
    <w:rsid w:val="00077E78"/>
    <w:rsid w:val="0008035B"/>
    <w:rsid w:val="000813A6"/>
    <w:rsid w:val="00082346"/>
    <w:rsid w:val="000831F8"/>
    <w:rsid w:val="000833F8"/>
    <w:rsid w:val="00083EBC"/>
    <w:rsid w:val="000841E5"/>
    <w:rsid w:val="00085204"/>
    <w:rsid w:val="0008584D"/>
    <w:rsid w:val="00085B42"/>
    <w:rsid w:val="0008659A"/>
    <w:rsid w:val="00086D4B"/>
    <w:rsid w:val="000873DD"/>
    <w:rsid w:val="00087CA6"/>
    <w:rsid w:val="000904BC"/>
    <w:rsid w:val="000909AB"/>
    <w:rsid w:val="00090D47"/>
    <w:rsid w:val="00091751"/>
    <w:rsid w:val="000917F5"/>
    <w:rsid w:val="000921D2"/>
    <w:rsid w:val="00092E61"/>
    <w:rsid w:val="00093151"/>
    <w:rsid w:val="0009343B"/>
    <w:rsid w:val="00093AAC"/>
    <w:rsid w:val="00093B13"/>
    <w:rsid w:val="00094343"/>
    <w:rsid w:val="000943BF"/>
    <w:rsid w:val="0009483A"/>
    <w:rsid w:val="000952E6"/>
    <w:rsid w:val="0009530E"/>
    <w:rsid w:val="0009567C"/>
    <w:rsid w:val="00095A0E"/>
    <w:rsid w:val="00096239"/>
    <w:rsid w:val="00096A68"/>
    <w:rsid w:val="00097766"/>
    <w:rsid w:val="00097FB9"/>
    <w:rsid w:val="000A026F"/>
    <w:rsid w:val="000A0CD6"/>
    <w:rsid w:val="000A1036"/>
    <w:rsid w:val="000A2575"/>
    <w:rsid w:val="000A25D2"/>
    <w:rsid w:val="000A2631"/>
    <w:rsid w:val="000A3313"/>
    <w:rsid w:val="000A3BB4"/>
    <w:rsid w:val="000A4283"/>
    <w:rsid w:val="000A4354"/>
    <w:rsid w:val="000A4577"/>
    <w:rsid w:val="000A62D9"/>
    <w:rsid w:val="000A6658"/>
    <w:rsid w:val="000B0390"/>
    <w:rsid w:val="000B0F6F"/>
    <w:rsid w:val="000B1637"/>
    <w:rsid w:val="000B1715"/>
    <w:rsid w:val="000B209F"/>
    <w:rsid w:val="000B2648"/>
    <w:rsid w:val="000B2722"/>
    <w:rsid w:val="000B2E26"/>
    <w:rsid w:val="000B320F"/>
    <w:rsid w:val="000B33DF"/>
    <w:rsid w:val="000B3A4F"/>
    <w:rsid w:val="000B447F"/>
    <w:rsid w:val="000B4504"/>
    <w:rsid w:val="000B48CB"/>
    <w:rsid w:val="000B5D7D"/>
    <w:rsid w:val="000B67D9"/>
    <w:rsid w:val="000B6A6A"/>
    <w:rsid w:val="000B73A3"/>
    <w:rsid w:val="000B7DF1"/>
    <w:rsid w:val="000C01CA"/>
    <w:rsid w:val="000C035B"/>
    <w:rsid w:val="000C03C8"/>
    <w:rsid w:val="000C0714"/>
    <w:rsid w:val="000C188C"/>
    <w:rsid w:val="000C245B"/>
    <w:rsid w:val="000C2AE6"/>
    <w:rsid w:val="000C2FBD"/>
    <w:rsid w:val="000C354A"/>
    <w:rsid w:val="000C3DF4"/>
    <w:rsid w:val="000C41F9"/>
    <w:rsid w:val="000C4FD9"/>
    <w:rsid w:val="000C52A0"/>
    <w:rsid w:val="000C577D"/>
    <w:rsid w:val="000C5C1E"/>
    <w:rsid w:val="000C6B2C"/>
    <w:rsid w:val="000C70C2"/>
    <w:rsid w:val="000C70D1"/>
    <w:rsid w:val="000C7671"/>
    <w:rsid w:val="000C7812"/>
    <w:rsid w:val="000D00A1"/>
    <w:rsid w:val="000D04C8"/>
    <w:rsid w:val="000D0769"/>
    <w:rsid w:val="000D0E5E"/>
    <w:rsid w:val="000D1018"/>
    <w:rsid w:val="000D12B7"/>
    <w:rsid w:val="000D160E"/>
    <w:rsid w:val="000D211B"/>
    <w:rsid w:val="000D27D1"/>
    <w:rsid w:val="000D2A3F"/>
    <w:rsid w:val="000D344B"/>
    <w:rsid w:val="000D3A94"/>
    <w:rsid w:val="000D4A6F"/>
    <w:rsid w:val="000D4BE6"/>
    <w:rsid w:val="000D5249"/>
    <w:rsid w:val="000D6185"/>
    <w:rsid w:val="000D6514"/>
    <w:rsid w:val="000D79C8"/>
    <w:rsid w:val="000E0761"/>
    <w:rsid w:val="000E0BAE"/>
    <w:rsid w:val="000E166F"/>
    <w:rsid w:val="000E1D86"/>
    <w:rsid w:val="000E29DE"/>
    <w:rsid w:val="000E2BE1"/>
    <w:rsid w:val="000E3DCC"/>
    <w:rsid w:val="000E4525"/>
    <w:rsid w:val="000E46D9"/>
    <w:rsid w:val="000E4E95"/>
    <w:rsid w:val="000E50DD"/>
    <w:rsid w:val="000E640C"/>
    <w:rsid w:val="000E693A"/>
    <w:rsid w:val="000E7308"/>
    <w:rsid w:val="000E7417"/>
    <w:rsid w:val="000E741F"/>
    <w:rsid w:val="000E7B25"/>
    <w:rsid w:val="000F0718"/>
    <w:rsid w:val="000F11A7"/>
    <w:rsid w:val="000F1903"/>
    <w:rsid w:val="000F1A45"/>
    <w:rsid w:val="000F1AF9"/>
    <w:rsid w:val="000F21C8"/>
    <w:rsid w:val="000F327E"/>
    <w:rsid w:val="000F3713"/>
    <w:rsid w:val="000F376A"/>
    <w:rsid w:val="000F37AB"/>
    <w:rsid w:val="000F4155"/>
    <w:rsid w:val="000F4491"/>
    <w:rsid w:val="000F44CB"/>
    <w:rsid w:val="000F4F2F"/>
    <w:rsid w:val="000F5866"/>
    <w:rsid w:val="000F620C"/>
    <w:rsid w:val="000F7591"/>
    <w:rsid w:val="000F782A"/>
    <w:rsid w:val="001000C3"/>
    <w:rsid w:val="0010071B"/>
    <w:rsid w:val="00100CE4"/>
    <w:rsid w:val="00101C8C"/>
    <w:rsid w:val="001027BD"/>
    <w:rsid w:val="001047E3"/>
    <w:rsid w:val="00104908"/>
    <w:rsid w:val="00104D5D"/>
    <w:rsid w:val="001051F5"/>
    <w:rsid w:val="00105693"/>
    <w:rsid w:val="00105A9C"/>
    <w:rsid w:val="00105D1F"/>
    <w:rsid w:val="001060B1"/>
    <w:rsid w:val="00106446"/>
    <w:rsid w:val="00107077"/>
    <w:rsid w:val="0010798D"/>
    <w:rsid w:val="00107FD9"/>
    <w:rsid w:val="00110169"/>
    <w:rsid w:val="00110B4B"/>
    <w:rsid w:val="0011125F"/>
    <w:rsid w:val="001113FC"/>
    <w:rsid w:val="00111596"/>
    <w:rsid w:val="001117DA"/>
    <w:rsid w:val="00111CC9"/>
    <w:rsid w:val="00112A3D"/>
    <w:rsid w:val="00112CDF"/>
    <w:rsid w:val="00112D63"/>
    <w:rsid w:val="001133AC"/>
    <w:rsid w:val="001136B2"/>
    <w:rsid w:val="0011382F"/>
    <w:rsid w:val="00113A15"/>
    <w:rsid w:val="00113B2B"/>
    <w:rsid w:val="00113C61"/>
    <w:rsid w:val="00114B15"/>
    <w:rsid w:val="00115314"/>
    <w:rsid w:val="00115BB3"/>
    <w:rsid w:val="00115CAE"/>
    <w:rsid w:val="001164E3"/>
    <w:rsid w:val="00117058"/>
    <w:rsid w:val="00117143"/>
    <w:rsid w:val="001176B2"/>
    <w:rsid w:val="00120369"/>
    <w:rsid w:val="001209EF"/>
    <w:rsid w:val="00120A2E"/>
    <w:rsid w:val="001217FB"/>
    <w:rsid w:val="00121A30"/>
    <w:rsid w:val="00121D20"/>
    <w:rsid w:val="001226CA"/>
    <w:rsid w:val="001228FD"/>
    <w:rsid w:val="001232B6"/>
    <w:rsid w:val="001240B1"/>
    <w:rsid w:val="00124345"/>
    <w:rsid w:val="00124596"/>
    <w:rsid w:val="0012512A"/>
    <w:rsid w:val="00125769"/>
    <w:rsid w:val="00125F48"/>
    <w:rsid w:val="001260C6"/>
    <w:rsid w:val="00126231"/>
    <w:rsid w:val="00126392"/>
    <w:rsid w:val="001264B5"/>
    <w:rsid w:val="001264DC"/>
    <w:rsid w:val="00127083"/>
    <w:rsid w:val="001270F8"/>
    <w:rsid w:val="0012732B"/>
    <w:rsid w:val="00130651"/>
    <w:rsid w:val="001307DA"/>
    <w:rsid w:val="00130958"/>
    <w:rsid w:val="0013172D"/>
    <w:rsid w:val="001322EF"/>
    <w:rsid w:val="001324B3"/>
    <w:rsid w:val="001345E9"/>
    <w:rsid w:val="00134894"/>
    <w:rsid w:val="001348D3"/>
    <w:rsid w:val="00135375"/>
    <w:rsid w:val="00135F59"/>
    <w:rsid w:val="00136B93"/>
    <w:rsid w:val="001370E3"/>
    <w:rsid w:val="00137DBD"/>
    <w:rsid w:val="00137DCD"/>
    <w:rsid w:val="00140D0C"/>
    <w:rsid w:val="00140DA3"/>
    <w:rsid w:val="001413DF"/>
    <w:rsid w:val="00141BEE"/>
    <w:rsid w:val="00143121"/>
    <w:rsid w:val="00143571"/>
    <w:rsid w:val="00144141"/>
    <w:rsid w:val="00144B01"/>
    <w:rsid w:val="00144F97"/>
    <w:rsid w:val="00145474"/>
    <w:rsid w:val="00145791"/>
    <w:rsid w:val="00145878"/>
    <w:rsid w:val="0014652E"/>
    <w:rsid w:val="0014699B"/>
    <w:rsid w:val="00146D14"/>
    <w:rsid w:val="00146FCF"/>
    <w:rsid w:val="00147C4B"/>
    <w:rsid w:val="0015043E"/>
    <w:rsid w:val="001505B2"/>
    <w:rsid w:val="001508A4"/>
    <w:rsid w:val="00151BA6"/>
    <w:rsid w:val="00151DCB"/>
    <w:rsid w:val="0015269F"/>
    <w:rsid w:val="00153084"/>
    <w:rsid w:val="00153432"/>
    <w:rsid w:val="001535AB"/>
    <w:rsid w:val="00153AE6"/>
    <w:rsid w:val="00153B30"/>
    <w:rsid w:val="00153C89"/>
    <w:rsid w:val="00156049"/>
    <w:rsid w:val="001564DB"/>
    <w:rsid w:val="00156902"/>
    <w:rsid w:val="00156F75"/>
    <w:rsid w:val="00160E3C"/>
    <w:rsid w:val="00161540"/>
    <w:rsid w:val="001617E9"/>
    <w:rsid w:val="00161B1C"/>
    <w:rsid w:val="00161F6A"/>
    <w:rsid w:val="00162175"/>
    <w:rsid w:val="00162403"/>
    <w:rsid w:val="0016254E"/>
    <w:rsid w:val="00162F23"/>
    <w:rsid w:val="001637C1"/>
    <w:rsid w:val="0016451E"/>
    <w:rsid w:val="001646D8"/>
    <w:rsid w:val="00164C0D"/>
    <w:rsid w:val="001655DB"/>
    <w:rsid w:val="0016583A"/>
    <w:rsid w:val="00165E8D"/>
    <w:rsid w:val="00166202"/>
    <w:rsid w:val="00166A60"/>
    <w:rsid w:val="00166A7A"/>
    <w:rsid w:val="00166EE2"/>
    <w:rsid w:val="00166F38"/>
    <w:rsid w:val="00167313"/>
    <w:rsid w:val="0016745D"/>
    <w:rsid w:val="00167763"/>
    <w:rsid w:val="001708E8"/>
    <w:rsid w:val="0017148D"/>
    <w:rsid w:val="001722C9"/>
    <w:rsid w:val="0017284E"/>
    <w:rsid w:val="0017334A"/>
    <w:rsid w:val="00173713"/>
    <w:rsid w:val="00173A95"/>
    <w:rsid w:val="00173D83"/>
    <w:rsid w:val="0017404D"/>
    <w:rsid w:val="001747D7"/>
    <w:rsid w:val="0017519D"/>
    <w:rsid w:val="001752F8"/>
    <w:rsid w:val="00175C3F"/>
    <w:rsid w:val="00175FE2"/>
    <w:rsid w:val="0017633E"/>
    <w:rsid w:val="001773C6"/>
    <w:rsid w:val="0017741D"/>
    <w:rsid w:val="001806D7"/>
    <w:rsid w:val="001810E9"/>
    <w:rsid w:val="001817A4"/>
    <w:rsid w:val="00181D2E"/>
    <w:rsid w:val="001828D3"/>
    <w:rsid w:val="00182A5D"/>
    <w:rsid w:val="00182B26"/>
    <w:rsid w:val="00183543"/>
    <w:rsid w:val="001846F2"/>
    <w:rsid w:val="001850A4"/>
    <w:rsid w:val="001859D6"/>
    <w:rsid w:val="00185B43"/>
    <w:rsid w:val="00185E08"/>
    <w:rsid w:val="00186927"/>
    <w:rsid w:val="001870D2"/>
    <w:rsid w:val="00190053"/>
    <w:rsid w:val="00190101"/>
    <w:rsid w:val="00190618"/>
    <w:rsid w:val="00190C8F"/>
    <w:rsid w:val="0019122D"/>
    <w:rsid w:val="00191A57"/>
    <w:rsid w:val="00192075"/>
    <w:rsid w:val="00192675"/>
    <w:rsid w:val="00193351"/>
    <w:rsid w:val="00193435"/>
    <w:rsid w:val="00193526"/>
    <w:rsid w:val="001939E3"/>
    <w:rsid w:val="00194270"/>
    <w:rsid w:val="00194B99"/>
    <w:rsid w:val="00195771"/>
    <w:rsid w:val="001960A0"/>
    <w:rsid w:val="00197371"/>
    <w:rsid w:val="001973A1"/>
    <w:rsid w:val="00197441"/>
    <w:rsid w:val="001978FA"/>
    <w:rsid w:val="00197B7E"/>
    <w:rsid w:val="001A053D"/>
    <w:rsid w:val="001A101A"/>
    <w:rsid w:val="001A12A4"/>
    <w:rsid w:val="001A130A"/>
    <w:rsid w:val="001A216B"/>
    <w:rsid w:val="001A2976"/>
    <w:rsid w:val="001A330B"/>
    <w:rsid w:val="001A3AA5"/>
    <w:rsid w:val="001A3AF5"/>
    <w:rsid w:val="001A3AFC"/>
    <w:rsid w:val="001A3BCB"/>
    <w:rsid w:val="001A4D9B"/>
    <w:rsid w:val="001A561A"/>
    <w:rsid w:val="001A58C6"/>
    <w:rsid w:val="001A59EB"/>
    <w:rsid w:val="001A69C1"/>
    <w:rsid w:val="001A7AC8"/>
    <w:rsid w:val="001B01CC"/>
    <w:rsid w:val="001B0625"/>
    <w:rsid w:val="001B0B82"/>
    <w:rsid w:val="001B1B3E"/>
    <w:rsid w:val="001B2294"/>
    <w:rsid w:val="001B281A"/>
    <w:rsid w:val="001B313B"/>
    <w:rsid w:val="001B383C"/>
    <w:rsid w:val="001B4531"/>
    <w:rsid w:val="001B4F01"/>
    <w:rsid w:val="001B5907"/>
    <w:rsid w:val="001B5C78"/>
    <w:rsid w:val="001B6609"/>
    <w:rsid w:val="001B6C7A"/>
    <w:rsid w:val="001C0029"/>
    <w:rsid w:val="001C00F5"/>
    <w:rsid w:val="001C03CA"/>
    <w:rsid w:val="001C0C83"/>
    <w:rsid w:val="001C12A7"/>
    <w:rsid w:val="001C18BF"/>
    <w:rsid w:val="001C1CFF"/>
    <w:rsid w:val="001C2072"/>
    <w:rsid w:val="001C274B"/>
    <w:rsid w:val="001C2DAC"/>
    <w:rsid w:val="001C32B3"/>
    <w:rsid w:val="001C3481"/>
    <w:rsid w:val="001C38AB"/>
    <w:rsid w:val="001C4E4C"/>
    <w:rsid w:val="001C5444"/>
    <w:rsid w:val="001C5D70"/>
    <w:rsid w:val="001C6699"/>
    <w:rsid w:val="001C6B26"/>
    <w:rsid w:val="001C737E"/>
    <w:rsid w:val="001C73E4"/>
    <w:rsid w:val="001C7B25"/>
    <w:rsid w:val="001D0F5F"/>
    <w:rsid w:val="001D1A86"/>
    <w:rsid w:val="001D26DC"/>
    <w:rsid w:val="001D300D"/>
    <w:rsid w:val="001D302B"/>
    <w:rsid w:val="001D505E"/>
    <w:rsid w:val="001D574C"/>
    <w:rsid w:val="001D5B75"/>
    <w:rsid w:val="001D7C01"/>
    <w:rsid w:val="001E0091"/>
    <w:rsid w:val="001E0663"/>
    <w:rsid w:val="001E162A"/>
    <w:rsid w:val="001E1D4A"/>
    <w:rsid w:val="001E2054"/>
    <w:rsid w:val="001E32FD"/>
    <w:rsid w:val="001E3396"/>
    <w:rsid w:val="001E385A"/>
    <w:rsid w:val="001E3A6E"/>
    <w:rsid w:val="001E3AF6"/>
    <w:rsid w:val="001E3D6A"/>
    <w:rsid w:val="001E415A"/>
    <w:rsid w:val="001E4458"/>
    <w:rsid w:val="001E59F7"/>
    <w:rsid w:val="001E63C1"/>
    <w:rsid w:val="001E6A66"/>
    <w:rsid w:val="001E6EC4"/>
    <w:rsid w:val="001E6F40"/>
    <w:rsid w:val="001F075D"/>
    <w:rsid w:val="001F130D"/>
    <w:rsid w:val="001F1819"/>
    <w:rsid w:val="001F3910"/>
    <w:rsid w:val="001F3A23"/>
    <w:rsid w:val="001F4878"/>
    <w:rsid w:val="001F4C67"/>
    <w:rsid w:val="001F5321"/>
    <w:rsid w:val="001F534E"/>
    <w:rsid w:val="001F5A13"/>
    <w:rsid w:val="001F5B18"/>
    <w:rsid w:val="001F7AFA"/>
    <w:rsid w:val="001F7DF3"/>
    <w:rsid w:val="00200789"/>
    <w:rsid w:val="002008A9"/>
    <w:rsid w:val="00200C39"/>
    <w:rsid w:val="00200D09"/>
    <w:rsid w:val="00201220"/>
    <w:rsid w:val="002013D8"/>
    <w:rsid w:val="002018AB"/>
    <w:rsid w:val="00201BCC"/>
    <w:rsid w:val="002023F0"/>
    <w:rsid w:val="00202B0E"/>
    <w:rsid w:val="0020308E"/>
    <w:rsid w:val="00203453"/>
    <w:rsid w:val="002034CA"/>
    <w:rsid w:val="00203E00"/>
    <w:rsid w:val="00203EA6"/>
    <w:rsid w:val="00204BF3"/>
    <w:rsid w:val="00205CD2"/>
    <w:rsid w:val="00205CF8"/>
    <w:rsid w:val="00206018"/>
    <w:rsid w:val="00207D02"/>
    <w:rsid w:val="002109AB"/>
    <w:rsid w:val="00210EE8"/>
    <w:rsid w:val="00210F21"/>
    <w:rsid w:val="00211340"/>
    <w:rsid w:val="00211822"/>
    <w:rsid w:val="0021196F"/>
    <w:rsid w:val="00211F38"/>
    <w:rsid w:val="00212851"/>
    <w:rsid w:val="00213F7B"/>
    <w:rsid w:val="00214E10"/>
    <w:rsid w:val="0021548B"/>
    <w:rsid w:val="002157B6"/>
    <w:rsid w:val="00215C17"/>
    <w:rsid w:val="00215D98"/>
    <w:rsid w:val="00216282"/>
    <w:rsid w:val="00216FA2"/>
    <w:rsid w:val="00220198"/>
    <w:rsid w:val="002203CE"/>
    <w:rsid w:val="002204EC"/>
    <w:rsid w:val="002205B6"/>
    <w:rsid w:val="00220AE5"/>
    <w:rsid w:val="00221240"/>
    <w:rsid w:val="00221395"/>
    <w:rsid w:val="00221600"/>
    <w:rsid w:val="00221BE4"/>
    <w:rsid w:val="00223541"/>
    <w:rsid w:val="00223B66"/>
    <w:rsid w:val="002240A4"/>
    <w:rsid w:val="0022478B"/>
    <w:rsid w:val="00224AF4"/>
    <w:rsid w:val="00225247"/>
    <w:rsid w:val="00225547"/>
    <w:rsid w:val="00225F63"/>
    <w:rsid w:val="00226CCD"/>
    <w:rsid w:val="00227AF9"/>
    <w:rsid w:val="002303FF"/>
    <w:rsid w:val="00230A02"/>
    <w:rsid w:val="00230B4C"/>
    <w:rsid w:val="00231C9E"/>
    <w:rsid w:val="0023208F"/>
    <w:rsid w:val="002320CD"/>
    <w:rsid w:val="0023235C"/>
    <w:rsid w:val="0023250D"/>
    <w:rsid w:val="00232836"/>
    <w:rsid w:val="00232941"/>
    <w:rsid w:val="00232A51"/>
    <w:rsid w:val="00232D80"/>
    <w:rsid w:val="0023339C"/>
    <w:rsid w:val="00234309"/>
    <w:rsid w:val="00235123"/>
    <w:rsid w:val="00240C73"/>
    <w:rsid w:val="002416E2"/>
    <w:rsid w:val="002419D0"/>
    <w:rsid w:val="00242897"/>
    <w:rsid w:val="00242A62"/>
    <w:rsid w:val="002440DA"/>
    <w:rsid w:val="00244351"/>
    <w:rsid w:val="002444EA"/>
    <w:rsid w:val="00244B2A"/>
    <w:rsid w:val="0024502F"/>
    <w:rsid w:val="00245609"/>
    <w:rsid w:val="00245EF6"/>
    <w:rsid w:val="00245F8C"/>
    <w:rsid w:val="00246573"/>
    <w:rsid w:val="00250A62"/>
    <w:rsid w:val="00250EAD"/>
    <w:rsid w:val="0025131F"/>
    <w:rsid w:val="002519C2"/>
    <w:rsid w:val="00252D21"/>
    <w:rsid w:val="00252EF5"/>
    <w:rsid w:val="00253669"/>
    <w:rsid w:val="00254308"/>
    <w:rsid w:val="00255580"/>
    <w:rsid w:val="0025571B"/>
    <w:rsid w:val="00255AC7"/>
    <w:rsid w:val="002564EE"/>
    <w:rsid w:val="002569C5"/>
    <w:rsid w:val="00256A84"/>
    <w:rsid w:val="00257F4D"/>
    <w:rsid w:val="00260902"/>
    <w:rsid w:val="00260A71"/>
    <w:rsid w:val="0026198C"/>
    <w:rsid w:val="00261AC6"/>
    <w:rsid w:val="00262D09"/>
    <w:rsid w:val="00262ECC"/>
    <w:rsid w:val="00262FCB"/>
    <w:rsid w:val="00262FDE"/>
    <w:rsid w:val="0026394B"/>
    <w:rsid w:val="00263AB2"/>
    <w:rsid w:val="002643E5"/>
    <w:rsid w:val="00264503"/>
    <w:rsid w:val="00264EB2"/>
    <w:rsid w:val="00265009"/>
    <w:rsid w:val="0026705D"/>
    <w:rsid w:val="00267C83"/>
    <w:rsid w:val="002702C6"/>
    <w:rsid w:val="00270305"/>
    <w:rsid w:val="00270DBF"/>
    <w:rsid w:val="00271105"/>
    <w:rsid w:val="00271A66"/>
    <w:rsid w:val="00272498"/>
    <w:rsid w:val="002725B6"/>
    <w:rsid w:val="002725FB"/>
    <w:rsid w:val="002726B5"/>
    <w:rsid w:val="00272DCB"/>
    <w:rsid w:val="00274BE9"/>
    <w:rsid w:val="00276030"/>
    <w:rsid w:val="00276AC4"/>
    <w:rsid w:val="00276F7B"/>
    <w:rsid w:val="0027767A"/>
    <w:rsid w:val="00277D4D"/>
    <w:rsid w:val="00280407"/>
    <w:rsid w:val="002815E4"/>
    <w:rsid w:val="0028240A"/>
    <w:rsid w:val="00282892"/>
    <w:rsid w:val="00283506"/>
    <w:rsid w:val="00283715"/>
    <w:rsid w:val="00283A43"/>
    <w:rsid w:val="0028428E"/>
    <w:rsid w:val="002842BF"/>
    <w:rsid w:val="00284301"/>
    <w:rsid w:val="00284647"/>
    <w:rsid w:val="0028487B"/>
    <w:rsid w:val="002849EB"/>
    <w:rsid w:val="00285733"/>
    <w:rsid w:val="002859F4"/>
    <w:rsid w:val="00285A81"/>
    <w:rsid w:val="00285BDF"/>
    <w:rsid w:val="00285F61"/>
    <w:rsid w:val="002862E3"/>
    <w:rsid w:val="002868A8"/>
    <w:rsid w:val="00286D2E"/>
    <w:rsid w:val="00287BB6"/>
    <w:rsid w:val="00287E12"/>
    <w:rsid w:val="00287F00"/>
    <w:rsid w:val="00290DAB"/>
    <w:rsid w:val="00291042"/>
    <w:rsid w:val="002917F9"/>
    <w:rsid w:val="00291C24"/>
    <w:rsid w:val="00292441"/>
    <w:rsid w:val="0029275A"/>
    <w:rsid w:val="00292F73"/>
    <w:rsid w:val="0029337E"/>
    <w:rsid w:val="00293A07"/>
    <w:rsid w:val="00293A4F"/>
    <w:rsid w:val="002950BC"/>
    <w:rsid w:val="002958E2"/>
    <w:rsid w:val="00295CE8"/>
    <w:rsid w:val="002962B1"/>
    <w:rsid w:val="002965AD"/>
    <w:rsid w:val="00296E43"/>
    <w:rsid w:val="00297B75"/>
    <w:rsid w:val="002A089D"/>
    <w:rsid w:val="002A0C4E"/>
    <w:rsid w:val="002A15AA"/>
    <w:rsid w:val="002A15D6"/>
    <w:rsid w:val="002A1672"/>
    <w:rsid w:val="002A22D6"/>
    <w:rsid w:val="002A24CB"/>
    <w:rsid w:val="002A3505"/>
    <w:rsid w:val="002A3741"/>
    <w:rsid w:val="002A3D55"/>
    <w:rsid w:val="002A4AAB"/>
    <w:rsid w:val="002A531A"/>
    <w:rsid w:val="002A5CB2"/>
    <w:rsid w:val="002A5D10"/>
    <w:rsid w:val="002A5E44"/>
    <w:rsid w:val="002A65E2"/>
    <w:rsid w:val="002A6C11"/>
    <w:rsid w:val="002A7318"/>
    <w:rsid w:val="002A7BBC"/>
    <w:rsid w:val="002B00AE"/>
    <w:rsid w:val="002B0720"/>
    <w:rsid w:val="002B12E2"/>
    <w:rsid w:val="002B1662"/>
    <w:rsid w:val="002B2B01"/>
    <w:rsid w:val="002B3F03"/>
    <w:rsid w:val="002B4148"/>
    <w:rsid w:val="002B44D0"/>
    <w:rsid w:val="002B469A"/>
    <w:rsid w:val="002B49AC"/>
    <w:rsid w:val="002B503F"/>
    <w:rsid w:val="002B51EA"/>
    <w:rsid w:val="002B5C26"/>
    <w:rsid w:val="002B5EAC"/>
    <w:rsid w:val="002B6043"/>
    <w:rsid w:val="002B7974"/>
    <w:rsid w:val="002C0DD0"/>
    <w:rsid w:val="002C1AB9"/>
    <w:rsid w:val="002C294F"/>
    <w:rsid w:val="002C2D6E"/>
    <w:rsid w:val="002C3042"/>
    <w:rsid w:val="002C332E"/>
    <w:rsid w:val="002C33EB"/>
    <w:rsid w:val="002C351B"/>
    <w:rsid w:val="002C363B"/>
    <w:rsid w:val="002C3658"/>
    <w:rsid w:val="002C465A"/>
    <w:rsid w:val="002C4AA2"/>
    <w:rsid w:val="002C4D40"/>
    <w:rsid w:val="002C52F9"/>
    <w:rsid w:val="002C58C1"/>
    <w:rsid w:val="002C5DF5"/>
    <w:rsid w:val="002C631C"/>
    <w:rsid w:val="002C663A"/>
    <w:rsid w:val="002C666B"/>
    <w:rsid w:val="002C6B7F"/>
    <w:rsid w:val="002C6C07"/>
    <w:rsid w:val="002C6E3F"/>
    <w:rsid w:val="002C6EEB"/>
    <w:rsid w:val="002C7157"/>
    <w:rsid w:val="002D06E2"/>
    <w:rsid w:val="002D13DD"/>
    <w:rsid w:val="002D1777"/>
    <w:rsid w:val="002D201E"/>
    <w:rsid w:val="002D2237"/>
    <w:rsid w:val="002D2F30"/>
    <w:rsid w:val="002D47DE"/>
    <w:rsid w:val="002D54FF"/>
    <w:rsid w:val="002D5860"/>
    <w:rsid w:val="002D5C40"/>
    <w:rsid w:val="002D61AB"/>
    <w:rsid w:val="002D6CD8"/>
    <w:rsid w:val="002D71AA"/>
    <w:rsid w:val="002D73B2"/>
    <w:rsid w:val="002D754C"/>
    <w:rsid w:val="002D7BB2"/>
    <w:rsid w:val="002E0DC5"/>
    <w:rsid w:val="002E1B39"/>
    <w:rsid w:val="002E1F2C"/>
    <w:rsid w:val="002E1F79"/>
    <w:rsid w:val="002E220A"/>
    <w:rsid w:val="002E273F"/>
    <w:rsid w:val="002E28E9"/>
    <w:rsid w:val="002E299D"/>
    <w:rsid w:val="002E29E2"/>
    <w:rsid w:val="002E348F"/>
    <w:rsid w:val="002E36ED"/>
    <w:rsid w:val="002E3B96"/>
    <w:rsid w:val="002E466F"/>
    <w:rsid w:val="002E6BFE"/>
    <w:rsid w:val="002E7135"/>
    <w:rsid w:val="002E7406"/>
    <w:rsid w:val="002F03A2"/>
    <w:rsid w:val="002F1878"/>
    <w:rsid w:val="002F1ED9"/>
    <w:rsid w:val="002F2719"/>
    <w:rsid w:val="002F2CFB"/>
    <w:rsid w:val="002F392B"/>
    <w:rsid w:val="002F3FA2"/>
    <w:rsid w:val="002F4310"/>
    <w:rsid w:val="002F4865"/>
    <w:rsid w:val="002F499D"/>
    <w:rsid w:val="002F57E6"/>
    <w:rsid w:val="002F5D22"/>
    <w:rsid w:val="002F63FF"/>
    <w:rsid w:val="002F654F"/>
    <w:rsid w:val="002F6D2B"/>
    <w:rsid w:val="002F6E2E"/>
    <w:rsid w:val="002F7978"/>
    <w:rsid w:val="002F7B60"/>
    <w:rsid w:val="00300B5F"/>
    <w:rsid w:val="00300D83"/>
    <w:rsid w:val="0030203A"/>
    <w:rsid w:val="0030277D"/>
    <w:rsid w:val="00302953"/>
    <w:rsid w:val="00304587"/>
    <w:rsid w:val="003048EC"/>
    <w:rsid w:val="003065F1"/>
    <w:rsid w:val="00306A74"/>
    <w:rsid w:val="00306AC3"/>
    <w:rsid w:val="00307BDC"/>
    <w:rsid w:val="00311830"/>
    <w:rsid w:val="00311C9B"/>
    <w:rsid w:val="00311CEC"/>
    <w:rsid w:val="003124EB"/>
    <w:rsid w:val="00313325"/>
    <w:rsid w:val="00313A4D"/>
    <w:rsid w:val="00313F34"/>
    <w:rsid w:val="00314ACC"/>
    <w:rsid w:val="00314DB9"/>
    <w:rsid w:val="0031518F"/>
    <w:rsid w:val="003151AF"/>
    <w:rsid w:val="003158D4"/>
    <w:rsid w:val="00316FB7"/>
    <w:rsid w:val="0031707F"/>
    <w:rsid w:val="00317639"/>
    <w:rsid w:val="00321101"/>
    <w:rsid w:val="003216FD"/>
    <w:rsid w:val="00321E2F"/>
    <w:rsid w:val="00323EFB"/>
    <w:rsid w:val="003246F2"/>
    <w:rsid w:val="00324865"/>
    <w:rsid w:val="00324B01"/>
    <w:rsid w:val="00324E36"/>
    <w:rsid w:val="003251FD"/>
    <w:rsid w:val="0032531B"/>
    <w:rsid w:val="0032557C"/>
    <w:rsid w:val="00326478"/>
    <w:rsid w:val="0032788A"/>
    <w:rsid w:val="0032795C"/>
    <w:rsid w:val="00331031"/>
    <w:rsid w:val="00331281"/>
    <w:rsid w:val="0033138C"/>
    <w:rsid w:val="00332095"/>
    <w:rsid w:val="00332311"/>
    <w:rsid w:val="0033310A"/>
    <w:rsid w:val="003333CF"/>
    <w:rsid w:val="00333690"/>
    <w:rsid w:val="0033420E"/>
    <w:rsid w:val="003347D8"/>
    <w:rsid w:val="003347F8"/>
    <w:rsid w:val="0033481B"/>
    <w:rsid w:val="003348AD"/>
    <w:rsid w:val="003350FF"/>
    <w:rsid w:val="0033575A"/>
    <w:rsid w:val="003359F2"/>
    <w:rsid w:val="00335BF6"/>
    <w:rsid w:val="00337D77"/>
    <w:rsid w:val="00340322"/>
    <w:rsid w:val="00340374"/>
    <w:rsid w:val="003405B0"/>
    <w:rsid w:val="00340734"/>
    <w:rsid w:val="0034088B"/>
    <w:rsid w:val="0034095A"/>
    <w:rsid w:val="00340B45"/>
    <w:rsid w:val="003418D5"/>
    <w:rsid w:val="00341D21"/>
    <w:rsid w:val="0034287E"/>
    <w:rsid w:val="0034291E"/>
    <w:rsid w:val="00342E44"/>
    <w:rsid w:val="00343125"/>
    <w:rsid w:val="0034317F"/>
    <w:rsid w:val="00343334"/>
    <w:rsid w:val="00343845"/>
    <w:rsid w:val="003453C0"/>
    <w:rsid w:val="00346A6E"/>
    <w:rsid w:val="00346F10"/>
    <w:rsid w:val="0034727A"/>
    <w:rsid w:val="00347500"/>
    <w:rsid w:val="00347DC8"/>
    <w:rsid w:val="00350642"/>
    <w:rsid w:val="0035087B"/>
    <w:rsid w:val="00350B7F"/>
    <w:rsid w:val="00352E5D"/>
    <w:rsid w:val="003533D8"/>
    <w:rsid w:val="003538B4"/>
    <w:rsid w:val="00353D3F"/>
    <w:rsid w:val="003546A7"/>
    <w:rsid w:val="00354E41"/>
    <w:rsid w:val="00355F7D"/>
    <w:rsid w:val="003565D4"/>
    <w:rsid w:val="00356C0C"/>
    <w:rsid w:val="003571D2"/>
    <w:rsid w:val="0035790C"/>
    <w:rsid w:val="00357A18"/>
    <w:rsid w:val="00357CAE"/>
    <w:rsid w:val="0036003D"/>
    <w:rsid w:val="003601EE"/>
    <w:rsid w:val="0036092F"/>
    <w:rsid w:val="00361648"/>
    <w:rsid w:val="0036212C"/>
    <w:rsid w:val="003623B5"/>
    <w:rsid w:val="00363F24"/>
    <w:rsid w:val="00364709"/>
    <w:rsid w:val="00365849"/>
    <w:rsid w:val="00365CEB"/>
    <w:rsid w:val="0036608F"/>
    <w:rsid w:val="00366C90"/>
    <w:rsid w:val="00367761"/>
    <w:rsid w:val="00371061"/>
    <w:rsid w:val="003710EC"/>
    <w:rsid w:val="003723EC"/>
    <w:rsid w:val="003725C2"/>
    <w:rsid w:val="00373228"/>
    <w:rsid w:val="0037398C"/>
    <w:rsid w:val="00373BCB"/>
    <w:rsid w:val="00373DDA"/>
    <w:rsid w:val="003751D4"/>
    <w:rsid w:val="00375354"/>
    <w:rsid w:val="00375AFE"/>
    <w:rsid w:val="0037630C"/>
    <w:rsid w:val="003765C9"/>
    <w:rsid w:val="003775FE"/>
    <w:rsid w:val="003775FF"/>
    <w:rsid w:val="0037765F"/>
    <w:rsid w:val="0037789B"/>
    <w:rsid w:val="003805C3"/>
    <w:rsid w:val="003808DC"/>
    <w:rsid w:val="003812EE"/>
    <w:rsid w:val="00381353"/>
    <w:rsid w:val="00381781"/>
    <w:rsid w:val="003817D3"/>
    <w:rsid w:val="00381AD3"/>
    <w:rsid w:val="00382023"/>
    <w:rsid w:val="00382317"/>
    <w:rsid w:val="00382748"/>
    <w:rsid w:val="00382DA3"/>
    <w:rsid w:val="0038366B"/>
    <w:rsid w:val="0038371A"/>
    <w:rsid w:val="0038393F"/>
    <w:rsid w:val="00383E27"/>
    <w:rsid w:val="00384533"/>
    <w:rsid w:val="00384A33"/>
    <w:rsid w:val="00384F53"/>
    <w:rsid w:val="0038718B"/>
    <w:rsid w:val="00390037"/>
    <w:rsid w:val="003908CB"/>
    <w:rsid w:val="00390F51"/>
    <w:rsid w:val="00391805"/>
    <w:rsid w:val="00391843"/>
    <w:rsid w:val="00392780"/>
    <w:rsid w:val="00392C4B"/>
    <w:rsid w:val="00392E37"/>
    <w:rsid w:val="003946D6"/>
    <w:rsid w:val="003965DB"/>
    <w:rsid w:val="003966A4"/>
    <w:rsid w:val="00396AD8"/>
    <w:rsid w:val="00397EA7"/>
    <w:rsid w:val="003A0006"/>
    <w:rsid w:val="003A0681"/>
    <w:rsid w:val="003A131A"/>
    <w:rsid w:val="003A14F4"/>
    <w:rsid w:val="003A1795"/>
    <w:rsid w:val="003A1873"/>
    <w:rsid w:val="003A2DCB"/>
    <w:rsid w:val="003A3153"/>
    <w:rsid w:val="003A389D"/>
    <w:rsid w:val="003A4099"/>
    <w:rsid w:val="003A4572"/>
    <w:rsid w:val="003A48A3"/>
    <w:rsid w:val="003A4DEB"/>
    <w:rsid w:val="003A4FB9"/>
    <w:rsid w:val="003A559B"/>
    <w:rsid w:val="003A56B4"/>
    <w:rsid w:val="003A63A3"/>
    <w:rsid w:val="003A79C2"/>
    <w:rsid w:val="003A7CE9"/>
    <w:rsid w:val="003A7D94"/>
    <w:rsid w:val="003B02A4"/>
    <w:rsid w:val="003B074C"/>
    <w:rsid w:val="003B0865"/>
    <w:rsid w:val="003B2895"/>
    <w:rsid w:val="003B304F"/>
    <w:rsid w:val="003B30BB"/>
    <w:rsid w:val="003B3199"/>
    <w:rsid w:val="003B36FD"/>
    <w:rsid w:val="003B3E70"/>
    <w:rsid w:val="003B52E3"/>
    <w:rsid w:val="003B5837"/>
    <w:rsid w:val="003B5E5D"/>
    <w:rsid w:val="003B6EB4"/>
    <w:rsid w:val="003C0335"/>
    <w:rsid w:val="003C05BE"/>
    <w:rsid w:val="003C0A14"/>
    <w:rsid w:val="003C1256"/>
    <w:rsid w:val="003C13E5"/>
    <w:rsid w:val="003C1404"/>
    <w:rsid w:val="003C1D76"/>
    <w:rsid w:val="003C229B"/>
    <w:rsid w:val="003C293B"/>
    <w:rsid w:val="003C2F63"/>
    <w:rsid w:val="003C3704"/>
    <w:rsid w:val="003C4815"/>
    <w:rsid w:val="003C5D94"/>
    <w:rsid w:val="003C6855"/>
    <w:rsid w:val="003C68FC"/>
    <w:rsid w:val="003C798D"/>
    <w:rsid w:val="003C7A73"/>
    <w:rsid w:val="003D061C"/>
    <w:rsid w:val="003D12BE"/>
    <w:rsid w:val="003D16A0"/>
    <w:rsid w:val="003D1765"/>
    <w:rsid w:val="003D188B"/>
    <w:rsid w:val="003D3B4B"/>
    <w:rsid w:val="003D3B9A"/>
    <w:rsid w:val="003D42BA"/>
    <w:rsid w:val="003D4669"/>
    <w:rsid w:val="003D5E2A"/>
    <w:rsid w:val="003D6007"/>
    <w:rsid w:val="003D6B57"/>
    <w:rsid w:val="003D6B75"/>
    <w:rsid w:val="003D7779"/>
    <w:rsid w:val="003E01BE"/>
    <w:rsid w:val="003E0880"/>
    <w:rsid w:val="003E0893"/>
    <w:rsid w:val="003E0C00"/>
    <w:rsid w:val="003E3CBC"/>
    <w:rsid w:val="003E4724"/>
    <w:rsid w:val="003E5316"/>
    <w:rsid w:val="003E5909"/>
    <w:rsid w:val="003E5AEC"/>
    <w:rsid w:val="003E5B81"/>
    <w:rsid w:val="003E63DA"/>
    <w:rsid w:val="003E6E9A"/>
    <w:rsid w:val="003E6EE9"/>
    <w:rsid w:val="003E6FD8"/>
    <w:rsid w:val="003E7A91"/>
    <w:rsid w:val="003F000C"/>
    <w:rsid w:val="003F0052"/>
    <w:rsid w:val="003F080A"/>
    <w:rsid w:val="003F1C53"/>
    <w:rsid w:val="003F1C60"/>
    <w:rsid w:val="003F2BA3"/>
    <w:rsid w:val="003F2C67"/>
    <w:rsid w:val="003F405E"/>
    <w:rsid w:val="003F4609"/>
    <w:rsid w:val="003F47E7"/>
    <w:rsid w:val="003F4887"/>
    <w:rsid w:val="003F59E2"/>
    <w:rsid w:val="003F6718"/>
    <w:rsid w:val="003F7A91"/>
    <w:rsid w:val="00400ACB"/>
    <w:rsid w:val="004014AC"/>
    <w:rsid w:val="00401EA9"/>
    <w:rsid w:val="00402BA3"/>
    <w:rsid w:val="004041BB"/>
    <w:rsid w:val="00404A4D"/>
    <w:rsid w:val="0040556F"/>
    <w:rsid w:val="00405C57"/>
    <w:rsid w:val="0040628F"/>
    <w:rsid w:val="0040634B"/>
    <w:rsid w:val="00406717"/>
    <w:rsid w:val="00406F15"/>
    <w:rsid w:val="004077C4"/>
    <w:rsid w:val="00407DF5"/>
    <w:rsid w:val="004112B7"/>
    <w:rsid w:val="004113F2"/>
    <w:rsid w:val="0041189C"/>
    <w:rsid w:val="00411C3E"/>
    <w:rsid w:val="004126BB"/>
    <w:rsid w:val="00412846"/>
    <w:rsid w:val="0041286B"/>
    <w:rsid w:val="00412E55"/>
    <w:rsid w:val="00412EDA"/>
    <w:rsid w:val="00413199"/>
    <w:rsid w:val="0041339D"/>
    <w:rsid w:val="00413ED6"/>
    <w:rsid w:val="0041470D"/>
    <w:rsid w:val="00414FB3"/>
    <w:rsid w:val="00415306"/>
    <w:rsid w:val="004153E5"/>
    <w:rsid w:val="00416113"/>
    <w:rsid w:val="00416293"/>
    <w:rsid w:val="004165A5"/>
    <w:rsid w:val="004165E0"/>
    <w:rsid w:val="004171C1"/>
    <w:rsid w:val="00417A7B"/>
    <w:rsid w:val="00417D39"/>
    <w:rsid w:val="0042020F"/>
    <w:rsid w:val="004209AD"/>
    <w:rsid w:val="00420E26"/>
    <w:rsid w:val="004214CB"/>
    <w:rsid w:val="004216DC"/>
    <w:rsid w:val="00421F27"/>
    <w:rsid w:val="00422141"/>
    <w:rsid w:val="00423265"/>
    <w:rsid w:val="00423927"/>
    <w:rsid w:val="004239DE"/>
    <w:rsid w:val="00423AB0"/>
    <w:rsid w:val="0042419A"/>
    <w:rsid w:val="004241CA"/>
    <w:rsid w:val="00424664"/>
    <w:rsid w:val="00424DB7"/>
    <w:rsid w:val="0042508B"/>
    <w:rsid w:val="004255AF"/>
    <w:rsid w:val="00425EF9"/>
    <w:rsid w:val="00426293"/>
    <w:rsid w:val="00426581"/>
    <w:rsid w:val="00427642"/>
    <w:rsid w:val="004276A6"/>
    <w:rsid w:val="00427944"/>
    <w:rsid w:val="0043056E"/>
    <w:rsid w:val="00430C15"/>
    <w:rsid w:val="0043102C"/>
    <w:rsid w:val="00431770"/>
    <w:rsid w:val="00431D80"/>
    <w:rsid w:val="0043264C"/>
    <w:rsid w:val="00432EDE"/>
    <w:rsid w:val="00433361"/>
    <w:rsid w:val="00433970"/>
    <w:rsid w:val="004343D0"/>
    <w:rsid w:val="004346A4"/>
    <w:rsid w:val="00434A0F"/>
    <w:rsid w:val="00434E74"/>
    <w:rsid w:val="004352D0"/>
    <w:rsid w:val="00435970"/>
    <w:rsid w:val="004366AC"/>
    <w:rsid w:val="00436879"/>
    <w:rsid w:val="00437C0C"/>
    <w:rsid w:val="00437DC8"/>
    <w:rsid w:val="00440935"/>
    <w:rsid w:val="0044137D"/>
    <w:rsid w:val="00441BDB"/>
    <w:rsid w:val="00441DE0"/>
    <w:rsid w:val="004426CC"/>
    <w:rsid w:val="004428F8"/>
    <w:rsid w:val="00442943"/>
    <w:rsid w:val="004438EC"/>
    <w:rsid w:val="004455B2"/>
    <w:rsid w:val="00445686"/>
    <w:rsid w:val="0044589A"/>
    <w:rsid w:val="00446377"/>
    <w:rsid w:val="00446471"/>
    <w:rsid w:val="00446DAB"/>
    <w:rsid w:val="0044706F"/>
    <w:rsid w:val="004470BD"/>
    <w:rsid w:val="00447425"/>
    <w:rsid w:val="00447E9E"/>
    <w:rsid w:val="00447F68"/>
    <w:rsid w:val="004508EB"/>
    <w:rsid w:val="004515F1"/>
    <w:rsid w:val="00452622"/>
    <w:rsid w:val="00452A85"/>
    <w:rsid w:val="00453947"/>
    <w:rsid w:val="004545E1"/>
    <w:rsid w:val="004552B6"/>
    <w:rsid w:val="00455592"/>
    <w:rsid w:val="00456A2C"/>
    <w:rsid w:val="004571B3"/>
    <w:rsid w:val="00457B50"/>
    <w:rsid w:val="00460668"/>
    <w:rsid w:val="004611C1"/>
    <w:rsid w:val="00462B72"/>
    <w:rsid w:val="004636F8"/>
    <w:rsid w:val="004639E4"/>
    <w:rsid w:val="00465AF5"/>
    <w:rsid w:val="004661B0"/>
    <w:rsid w:val="0046696C"/>
    <w:rsid w:val="00466F5F"/>
    <w:rsid w:val="00466FEA"/>
    <w:rsid w:val="00467252"/>
    <w:rsid w:val="004702BD"/>
    <w:rsid w:val="00470775"/>
    <w:rsid w:val="004707A5"/>
    <w:rsid w:val="0047091D"/>
    <w:rsid w:val="00470C46"/>
    <w:rsid w:val="00471E39"/>
    <w:rsid w:val="00472D5C"/>
    <w:rsid w:val="00473062"/>
    <w:rsid w:val="00473A7F"/>
    <w:rsid w:val="00474A1D"/>
    <w:rsid w:val="0047596E"/>
    <w:rsid w:val="004764FA"/>
    <w:rsid w:val="00476B82"/>
    <w:rsid w:val="0047757B"/>
    <w:rsid w:val="00477865"/>
    <w:rsid w:val="00480F9B"/>
    <w:rsid w:val="00481AF4"/>
    <w:rsid w:val="00482A44"/>
    <w:rsid w:val="004838AA"/>
    <w:rsid w:val="00484599"/>
    <w:rsid w:val="00484AFF"/>
    <w:rsid w:val="004851C5"/>
    <w:rsid w:val="00485335"/>
    <w:rsid w:val="00485915"/>
    <w:rsid w:val="00485F0D"/>
    <w:rsid w:val="004865A0"/>
    <w:rsid w:val="00486E47"/>
    <w:rsid w:val="00487EFD"/>
    <w:rsid w:val="00490A3D"/>
    <w:rsid w:val="00490B4E"/>
    <w:rsid w:val="004911DC"/>
    <w:rsid w:val="004920BD"/>
    <w:rsid w:val="00492532"/>
    <w:rsid w:val="00492CBF"/>
    <w:rsid w:val="0049332A"/>
    <w:rsid w:val="0049418A"/>
    <w:rsid w:val="004944B6"/>
    <w:rsid w:val="00494A80"/>
    <w:rsid w:val="00494F20"/>
    <w:rsid w:val="004962D3"/>
    <w:rsid w:val="00496A99"/>
    <w:rsid w:val="004A168D"/>
    <w:rsid w:val="004A21BA"/>
    <w:rsid w:val="004A2240"/>
    <w:rsid w:val="004A2E29"/>
    <w:rsid w:val="004A3B8B"/>
    <w:rsid w:val="004A3E2F"/>
    <w:rsid w:val="004A4630"/>
    <w:rsid w:val="004A4CC2"/>
    <w:rsid w:val="004A52BA"/>
    <w:rsid w:val="004A53EC"/>
    <w:rsid w:val="004A55A1"/>
    <w:rsid w:val="004A5AEC"/>
    <w:rsid w:val="004A6376"/>
    <w:rsid w:val="004A705E"/>
    <w:rsid w:val="004A73BA"/>
    <w:rsid w:val="004A7952"/>
    <w:rsid w:val="004A7ACC"/>
    <w:rsid w:val="004A7AFF"/>
    <w:rsid w:val="004A7BF0"/>
    <w:rsid w:val="004A7C0F"/>
    <w:rsid w:val="004B1465"/>
    <w:rsid w:val="004B1505"/>
    <w:rsid w:val="004B1A4E"/>
    <w:rsid w:val="004B1CDA"/>
    <w:rsid w:val="004B221E"/>
    <w:rsid w:val="004B268D"/>
    <w:rsid w:val="004B371B"/>
    <w:rsid w:val="004B5555"/>
    <w:rsid w:val="004B6955"/>
    <w:rsid w:val="004B6A9B"/>
    <w:rsid w:val="004B774F"/>
    <w:rsid w:val="004C0A57"/>
    <w:rsid w:val="004C159B"/>
    <w:rsid w:val="004C172C"/>
    <w:rsid w:val="004C1A50"/>
    <w:rsid w:val="004C1CEC"/>
    <w:rsid w:val="004C2A1A"/>
    <w:rsid w:val="004C4044"/>
    <w:rsid w:val="004C41D1"/>
    <w:rsid w:val="004C4320"/>
    <w:rsid w:val="004C5584"/>
    <w:rsid w:val="004C5FC0"/>
    <w:rsid w:val="004C6B9E"/>
    <w:rsid w:val="004C6C6E"/>
    <w:rsid w:val="004C762A"/>
    <w:rsid w:val="004C780E"/>
    <w:rsid w:val="004D03D5"/>
    <w:rsid w:val="004D06AD"/>
    <w:rsid w:val="004D070D"/>
    <w:rsid w:val="004D090D"/>
    <w:rsid w:val="004D14D8"/>
    <w:rsid w:val="004D2C1C"/>
    <w:rsid w:val="004D347C"/>
    <w:rsid w:val="004D3D91"/>
    <w:rsid w:val="004D4549"/>
    <w:rsid w:val="004D4B5D"/>
    <w:rsid w:val="004D5ACE"/>
    <w:rsid w:val="004D5BB9"/>
    <w:rsid w:val="004D62F2"/>
    <w:rsid w:val="004D7834"/>
    <w:rsid w:val="004D79CE"/>
    <w:rsid w:val="004D7BF8"/>
    <w:rsid w:val="004E01E1"/>
    <w:rsid w:val="004E0B7A"/>
    <w:rsid w:val="004E0B8E"/>
    <w:rsid w:val="004E0C3F"/>
    <w:rsid w:val="004E0C5E"/>
    <w:rsid w:val="004E1894"/>
    <w:rsid w:val="004E18EE"/>
    <w:rsid w:val="004E2CF6"/>
    <w:rsid w:val="004E3BBF"/>
    <w:rsid w:val="004E4266"/>
    <w:rsid w:val="004E495B"/>
    <w:rsid w:val="004E4CC2"/>
    <w:rsid w:val="004E518C"/>
    <w:rsid w:val="004E6F94"/>
    <w:rsid w:val="004E70D3"/>
    <w:rsid w:val="004E73A3"/>
    <w:rsid w:val="004E7578"/>
    <w:rsid w:val="004E78D7"/>
    <w:rsid w:val="004F0107"/>
    <w:rsid w:val="004F1699"/>
    <w:rsid w:val="004F17FB"/>
    <w:rsid w:val="004F233A"/>
    <w:rsid w:val="004F3069"/>
    <w:rsid w:val="004F3090"/>
    <w:rsid w:val="004F3460"/>
    <w:rsid w:val="004F3C77"/>
    <w:rsid w:val="004F4346"/>
    <w:rsid w:val="004F489A"/>
    <w:rsid w:val="004F4A39"/>
    <w:rsid w:val="004F4D75"/>
    <w:rsid w:val="004F531F"/>
    <w:rsid w:val="004F5F21"/>
    <w:rsid w:val="004F66D0"/>
    <w:rsid w:val="004F6747"/>
    <w:rsid w:val="004F6E30"/>
    <w:rsid w:val="004F713E"/>
    <w:rsid w:val="00500332"/>
    <w:rsid w:val="00500F88"/>
    <w:rsid w:val="00502E58"/>
    <w:rsid w:val="0050381C"/>
    <w:rsid w:val="00503D76"/>
    <w:rsid w:val="00504154"/>
    <w:rsid w:val="00504223"/>
    <w:rsid w:val="005043F5"/>
    <w:rsid w:val="00504419"/>
    <w:rsid w:val="0050477B"/>
    <w:rsid w:val="005047E5"/>
    <w:rsid w:val="005052E6"/>
    <w:rsid w:val="0050537A"/>
    <w:rsid w:val="005057CC"/>
    <w:rsid w:val="00505858"/>
    <w:rsid w:val="00505A9A"/>
    <w:rsid w:val="00505F80"/>
    <w:rsid w:val="00506735"/>
    <w:rsid w:val="005069A5"/>
    <w:rsid w:val="00506B9A"/>
    <w:rsid w:val="00506FB0"/>
    <w:rsid w:val="005075CD"/>
    <w:rsid w:val="00507E86"/>
    <w:rsid w:val="0051089D"/>
    <w:rsid w:val="00510CE6"/>
    <w:rsid w:val="005115F3"/>
    <w:rsid w:val="00512BF2"/>
    <w:rsid w:val="00513834"/>
    <w:rsid w:val="005146BB"/>
    <w:rsid w:val="00514908"/>
    <w:rsid w:val="00514A6D"/>
    <w:rsid w:val="00515EB7"/>
    <w:rsid w:val="00520121"/>
    <w:rsid w:val="00520518"/>
    <w:rsid w:val="005208EB"/>
    <w:rsid w:val="005209D7"/>
    <w:rsid w:val="00520CD4"/>
    <w:rsid w:val="005216BC"/>
    <w:rsid w:val="0052205A"/>
    <w:rsid w:val="00523A75"/>
    <w:rsid w:val="00523D1E"/>
    <w:rsid w:val="0052537E"/>
    <w:rsid w:val="00525939"/>
    <w:rsid w:val="00525F48"/>
    <w:rsid w:val="0052611C"/>
    <w:rsid w:val="005261F1"/>
    <w:rsid w:val="00526332"/>
    <w:rsid w:val="00526784"/>
    <w:rsid w:val="00526CD6"/>
    <w:rsid w:val="00526DA7"/>
    <w:rsid w:val="00526E2C"/>
    <w:rsid w:val="005270A9"/>
    <w:rsid w:val="00527268"/>
    <w:rsid w:val="00527CD2"/>
    <w:rsid w:val="00527DEB"/>
    <w:rsid w:val="00531527"/>
    <w:rsid w:val="005316B6"/>
    <w:rsid w:val="005321A3"/>
    <w:rsid w:val="005334E1"/>
    <w:rsid w:val="00533FFC"/>
    <w:rsid w:val="00534056"/>
    <w:rsid w:val="0053539D"/>
    <w:rsid w:val="005361E0"/>
    <w:rsid w:val="00536A04"/>
    <w:rsid w:val="00537655"/>
    <w:rsid w:val="00537749"/>
    <w:rsid w:val="005378EF"/>
    <w:rsid w:val="00540570"/>
    <w:rsid w:val="005416E6"/>
    <w:rsid w:val="00542FC2"/>
    <w:rsid w:val="005432A0"/>
    <w:rsid w:val="0054353D"/>
    <w:rsid w:val="005437CF"/>
    <w:rsid w:val="005439FC"/>
    <w:rsid w:val="0054482C"/>
    <w:rsid w:val="0054598A"/>
    <w:rsid w:val="00545ACA"/>
    <w:rsid w:val="0054675A"/>
    <w:rsid w:val="0054768B"/>
    <w:rsid w:val="00547B5A"/>
    <w:rsid w:val="00547EA3"/>
    <w:rsid w:val="00547F13"/>
    <w:rsid w:val="00550282"/>
    <w:rsid w:val="00550E63"/>
    <w:rsid w:val="0055130D"/>
    <w:rsid w:val="00551B65"/>
    <w:rsid w:val="00551C2E"/>
    <w:rsid w:val="00551D83"/>
    <w:rsid w:val="00552584"/>
    <w:rsid w:val="00552875"/>
    <w:rsid w:val="00552C46"/>
    <w:rsid w:val="005536BC"/>
    <w:rsid w:val="005550DD"/>
    <w:rsid w:val="0055525C"/>
    <w:rsid w:val="00555359"/>
    <w:rsid w:val="005575BA"/>
    <w:rsid w:val="00557DC5"/>
    <w:rsid w:val="00560EB3"/>
    <w:rsid w:val="00560F77"/>
    <w:rsid w:val="00561EA3"/>
    <w:rsid w:val="005624A0"/>
    <w:rsid w:val="00563065"/>
    <w:rsid w:val="005634AE"/>
    <w:rsid w:val="005635C8"/>
    <w:rsid w:val="00564B12"/>
    <w:rsid w:val="0056550D"/>
    <w:rsid w:val="005659AC"/>
    <w:rsid w:val="00565D24"/>
    <w:rsid w:val="00566122"/>
    <w:rsid w:val="0056657C"/>
    <w:rsid w:val="005665E1"/>
    <w:rsid w:val="00567592"/>
    <w:rsid w:val="00567730"/>
    <w:rsid w:val="00567B55"/>
    <w:rsid w:val="005701BB"/>
    <w:rsid w:val="0057087A"/>
    <w:rsid w:val="005709B5"/>
    <w:rsid w:val="00570BB9"/>
    <w:rsid w:val="005712A8"/>
    <w:rsid w:val="005722AE"/>
    <w:rsid w:val="00572418"/>
    <w:rsid w:val="00572A77"/>
    <w:rsid w:val="005739A6"/>
    <w:rsid w:val="00573BE5"/>
    <w:rsid w:val="00573E25"/>
    <w:rsid w:val="00574301"/>
    <w:rsid w:val="00574806"/>
    <w:rsid w:val="005752A3"/>
    <w:rsid w:val="00575CB7"/>
    <w:rsid w:val="005760BA"/>
    <w:rsid w:val="00577856"/>
    <w:rsid w:val="00577D51"/>
    <w:rsid w:val="00580F55"/>
    <w:rsid w:val="005821A9"/>
    <w:rsid w:val="00583431"/>
    <w:rsid w:val="00583F70"/>
    <w:rsid w:val="005843B0"/>
    <w:rsid w:val="005847C4"/>
    <w:rsid w:val="00584D05"/>
    <w:rsid w:val="0058523D"/>
    <w:rsid w:val="00585766"/>
    <w:rsid w:val="005861DA"/>
    <w:rsid w:val="005868FE"/>
    <w:rsid w:val="00586934"/>
    <w:rsid w:val="005870FF"/>
    <w:rsid w:val="0058736F"/>
    <w:rsid w:val="00587C00"/>
    <w:rsid w:val="00587E4F"/>
    <w:rsid w:val="00587E60"/>
    <w:rsid w:val="00587FB2"/>
    <w:rsid w:val="005902D5"/>
    <w:rsid w:val="0059033F"/>
    <w:rsid w:val="00590527"/>
    <w:rsid w:val="00591BBD"/>
    <w:rsid w:val="00591E31"/>
    <w:rsid w:val="00591EBC"/>
    <w:rsid w:val="00593121"/>
    <w:rsid w:val="0059449D"/>
    <w:rsid w:val="00597E4B"/>
    <w:rsid w:val="005A1260"/>
    <w:rsid w:val="005A2328"/>
    <w:rsid w:val="005A2E98"/>
    <w:rsid w:val="005A2FA1"/>
    <w:rsid w:val="005A3014"/>
    <w:rsid w:val="005A3044"/>
    <w:rsid w:val="005A35B6"/>
    <w:rsid w:val="005A4232"/>
    <w:rsid w:val="005A4E5B"/>
    <w:rsid w:val="005A50A0"/>
    <w:rsid w:val="005A5CED"/>
    <w:rsid w:val="005A6740"/>
    <w:rsid w:val="005A6767"/>
    <w:rsid w:val="005A6FCF"/>
    <w:rsid w:val="005A745A"/>
    <w:rsid w:val="005A77C9"/>
    <w:rsid w:val="005A7A37"/>
    <w:rsid w:val="005A7A9A"/>
    <w:rsid w:val="005B016E"/>
    <w:rsid w:val="005B03C3"/>
    <w:rsid w:val="005B0807"/>
    <w:rsid w:val="005B0C96"/>
    <w:rsid w:val="005B1244"/>
    <w:rsid w:val="005B214B"/>
    <w:rsid w:val="005B2AD5"/>
    <w:rsid w:val="005B2C45"/>
    <w:rsid w:val="005B2CA3"/>
    <w:rsid w:val="005B2D59"/>
    <w:rsid w:val="005B3314"/>
    <w:rsid w:val="005B3467"/>
    <w:rsid w:val="005B3657"/>
    <w:rsid w:val="005B3960"/>
    <w:rsid w:val="005B4112"/>
    <w:rsid w:val="005B5AF6"/>
    <w:rsid w:val="005B617A"/>
    <w:rsid w:val="005B61FE"/>
    <w:rsid w:val="005B6687"/>
    <w:rsid w:val="005C09B3"/>
    <w:rsid w:val="005C0D7E"/>
    <w:rsid w:val="005C0DE7"/>
    <w:rsid w:val="005C0F07"/>
    <w:rsid w:val="005C156E"/>
    <w:rsid w:val="005C177B"/>
    <w:rsid w:val="005C1BF9"/>
    <w:rsid w:val="005C1CA1"/>
    <w:rsid w:val="005C2A69"/>
    <w:rsid w:val="005C2DE6"/>
    <w:rsid w:val="005C3E05"/>
    <w:rsid w:val="005C4887"/>
    <w:rsid w:val="005C4EBF"/>
    <w:rsid w:val="005C5098"/>
    <w:rsid w:val="005C58EB"/>
    <w:rsid w:val="005C5977"/>
    <w:rsid w:val="005C617A"/>
    <w:rsid w:val="005C7ED7"/>
    <w:rsid w:val="005D01A4"/>
    <w:rsid w:val="005D088D"/>
    <w:rsid w:val="005D0D39"/>
    <w:rsid w:val="005D1855"/>
    <w:rsid w:val="005D1A7D"/>
    <w:rsid w:val="005D1D9B"/>
    <w:rsid w:val="005D1F21"/>
    <w:rsid w:val="005D2B35"/>
    <w:rsid w:val="005D2D81"/>
    <w:rsid w:val="005D3851"/>
    <w:rsid w:val="005D392F"/>
    <w:rsid w:val="005D48B8"/>
    <w:rsid w:val="005D57AA"/>
    <w:rsid w:val="005D5CEA"/>
    <w:rsid w:val="005D5D39"/>
    <w:rsid w:val="005D78A2"/>
    <w:rsid w:val="005E11CB"/>
    <w:rsid w:val="005E133D"/>
    <w:rsid w:val="005E1438"/>
    <w:rsid w:val="005E170B"/>
    <w:rsid w:val="005E1990"/>
    <w:rsid w:val="005E1C52"/>
    <w:rsid w:val="005E2444"/>
    <w:rsid w:val="005E2E68"/>
    <w:rsid w:val="005E33D2"/>
    <w:rsid w:val="005E358B"/>
    <w:rsid w:val="005E41E1"/>
    <w:rsid w:val="005E4442"/>
    <w:rsid w:val="005E44A9"/>
    <w:rsid w:val="005E4670"/>
    <w:rsid w:val="005E4BD2"/>
    <w:rsid w:val="005E501E"/>
    <w:rsid w:val="005E50F3"/>
    <w:rsid w:val="005E5490"/>
    <w:rsid w:val="005E5DE3"/>
    <w:rsid w:val="005E5F00"/>
    <w:rsid w:val="005E60DD"/>
    <w:rsid w:val="005E7B3D"/>
    <w:rsid w:val="005F0DBF"/>
    <w:rsid w:val="005F2D4C"/>
    <w:rsid w:val="005F3033"/>
    <w:rsid w:val="005F31D5"/>
    <w:rsid w:val="005F37D4"/>
    <w:rsid w:val="005F3B9C"/>
    <w:rsid w:val="005F3F47"/>
    <w:rsid w:val="005F42D2"/>
    <w:rsid w:val="005F4DD9"/>
    <w:rsid w:val="005F4FD5"/>
    <w:rsid w:val="005F51F9"/>
    <w:rsid w:val="005F554A"/>
    <w:rsid w:val="005F603B"/>
    <w:rsid w:val="005F67E2"/>
    <w:rsid w:val="005F6D71"/>
    <w:rsid w:val="00600153"/>
    <w:rsid w:val="006008EC"/>
    <w:rsid w:val="0060107E"/>
    <w:rsid w:val="00601104"/>
    <w:rsid w:val="00601378"/>
    <w:rsid w:val="006020D9"/>
    <w:rsid w:val="0060267A"/>
    <w:rsid w:val="00602B44"/>
    <w:rsid w:val="00602E82"/>
    <w:rsid w:val="00602F71"/>
    <w:rsid w:val="006030D6"/>
    <w:rsid w:val="006043A4"/>
    <w:rsid w:val="006045CD"/>
    <w:rsid w:val="006048D0"/>
    <w:rsid w:val="00605007"/>
    <w:rsid w:val="0060594A"/>
    <w:rsid w:val="00605D78"/>
    <w:rsid w:val="006060BB"/>
    <w:rsid w:val="0060698B"/>
    <w:rsid w:val="006105B3"/>
    <w:rsid w:val="00610E46"/>
    <w:rsid w:val="006119B8"/>
    <w:rsid w:val="00611A6C"/>
    <w:rsid w:val="00611AF5"/>
    <w:rsid w:val="00611CF3"/>
    <w:rsid w:val="0061226A"/>
    <w:rsid w:val="00612E64"/>
    <w:rsid w:val="00612F0E"/>
    <w:rsid w:val="00613105"/>
    <w:rsid w:val="006137A5"/>
    <w:rsid w:val="006143D2"/>
    <w:rsid w:val="00614CD3"/>
    <w:rsid w:val="0061627F"/>
    <w:rsid w:val="00616BF1"/>
    <w:rsid w:val="00617052"/>
    <w:rsid w:val="00617F54"/>
    <w:rsid w:val="0062043A"/>
    <w:rsid w:val="00620808"/>
    <w:rsid w:val="006217E3"/>
    <w:rsid w:val="00621A67"/>
    <w:rsid w:val="00621EDB"/>
    <w:rsid w:val="00622F37"/>
    <w:rsid w:val="006232A3"/>
    <w:rsid w:val="006240A6"/>
    <w:rsid w:val="006242DF"/>
    <w:rsid w:val="0062497C"/>
    <w:rsid w:val="00624B6B"/>
    <w:rsid w:val="00624EB7"/>
    <w:rsid w:val="0062600E"/>
    <w:rsid w:val="00626EC9"/>
    <w:rsid w:val="00627EBD"/>
    <w:rsid w:val="00631662"/>
    <w:rsid w:val="00632A0E"/>
    <w:rsid w:val="0063652D"/>
    <w:rsid w:val="006365EC"/>
    <w:rsid w:val="00636643"/>
    <w:rsid w:val="006374CD"/>
    <w:rsid w:val="00637F16"/>
    <w:rsid w:val="00640570"/>
    <w:rsid w:val="00640CB0"/>
    <w:rsid w:val="00640CED"/>
    <w:rsid w:val="00641143"/>
    <w:rsid w:val="006411A6"/>
    <w:rsid w:val="00641A5F"/>
    <w:rsid w:val="0064267E"/>
    <w:rsid w:val="006430FF"/>
    <w:rsid w:val="0064347A"/>
    <w:rsid w:val="00643967"/>
    <w:rsid w:val="00643C32"/>
    <w:rsid w:val="00644DF6"/>
    <w:rsid w:val="00645473"/>
    <w:rsid w:val="0064721C"/>
    <w:rsid w:val="00647882"/>
    <w:rsid w:val="00647DA8"/>
    <w:rsid w:val="00647F9D"/>
    <w:rsid w:val="006502AB"/>
    <w:rsid w:val="00650F32"/>
    <w:rsid w:val="00651177"/>
    <w:rsid w:val="006516A2"/>
    <w:rsid w:val="006520F8"/>
    <w:rsid w:val="0065343A"/>
    <w:rsid w:val="00653770"/>
    <w:rsid w:val="00653A2A"/>
    <w:rsid w:val="00653B74"/>
    <w:rsid w:val="00654083"/>
    <w:rsid w:val="00654A5B"/>
    <w:rsid w:val="00655122"/>
    <w:rsid w:val="00655C85"/>
    <w:rsid w:val="00655EE5"/>
    <w:rsid w:val="006564AB"/>
    <w:rsid w:val="0065652F"/>
    <w:rsid w:val="006569FD"/>
    <w:rsid w:val="00656DFD"/>
    <w:rsid w:val="006605A1"/>
    <w:rsid w:val="0066096D"/>
    <w:rsid w:val="0066100B"/>
    <w:rsid w:val="006613B1"/>
    <w:rsid w:val="0066219C"/>
    <w:rsid w:val="00662E5C"/>
    <w:rsid w:val="006632AA"/>
    <w:rsid w:val="0066350F"/>
    <w:rsid w:val="00663D25"/>
    <w:rsid w:val="00664FB7"/>
    <w:rsid w:val="00665DEE"/>
    <w:rsid w:val="0066654B"/>
    <w:rsid w:val="00666B1D"/>
    <w:rsid w:val="006672FF"/>
    <w:rsid w:val="00667A54"/>
    <w:rsid w:val="006712AE"/>
    <w:rsid w:val="00671816"/>
    <w:rsid w:val="00671D73"/>
    <w:rsid w:val="006724CA"/>
    <w:rsid w:val="006726C8"/>
    <w:rsid w:val="006727E9"/>
    <w:rsid w:val="0067340E"/>
    <w:rsid w:val="00674551"/>
    <w:rsid w:val="006746CD"/>
    <w:rsid w:val="00674DB1"/>
    <w:rsid w:val="00675B52"/>
    <w:rsid w:val="00676762"/>
    <w:rsid w:val="00676FC8"/>
    <w:rsid w:val="00677156"/>
    <w:rsid w:val="006779A1"/>
    <w:rsid w:val="006807B3"/>
    <w:rsid w:val="006808C4"/>
    <w:rsid w:val="006813A4"/>
    <w:rsid w:val="00681F77"/>
    <w:rsid w:val="006823B3"/>
    <w:rsid w:val="006826D0"/>
    <w:rsid w:val="00682BA0"/>
    <w:rsid w:val="00682E7A"/>
    <w:rsid w:val="00682EDE"/>
    <w:rsid w:val="00682FC6"/>
    <w:rsid w:val="0068368F"/>
    <w:rsid w:val="0068390A"/>
    <w:rsid w:val="00684720"/>
    <w:rsid w:val="00684D30"/>
    <w:rsid w:val="0068528A"/>
    <w:rsid w:val="006855D3"/>
    <w:rsid w:val="0068563E"/>
    <w:rsid w:val="00685D06"/>
    <w:rsid w:val="00686202"/>
    <w:rsid w:val="0068652D"/>
    <w:rsid w:val="00690243"/>
    <w:rsid w:val="006903B8"/>
    <w:rsid w:val="0069139A"/>
    <w:rsid w:val="006917A7"/>
    <w:rsid w:val="00691862"/>
    <w:rsid w:val="0069205C"/>
    <w:rsid w:val="0069219F"/>
    <w:rsid w:val="006928E7"/>
    <w:rsid w:val="00693419"/>
    <w:rsid w:val="00693914"/>
    <w:rsid w:val="00693C04"/>
    <w:rsid w:val="006944EB"/>
    <w:rsid w:val="00694A3B"/>
    <w:rsid w:val="00694C2D"/>
    <w:rsid w:val="006954C4"/>
    <w:rsid w:val="00696927"/>
    <w:rsid w:val="006969FE"/>
    <w:rsid w:val="00696EE1"/>
    <w:rsid w:val="006972C7"/>
    <w:rsid w:val="00697E73"/>
    <w:rsid w:val="006A00B7"/>
    <w:rsid w:val="006A0563"/>
    <w:rsid w:val="006A0C5F"/>
    <w:rsid w:val="006A0F81"/>
    <w:rsid w:val="006A134B"/>
    <w:rsid w:val="006A1685"/>
    <w:rsid w:val="006A1914"/>
    <w:rsid w:val="006A1B12"/>
    <w:rsid w:val="006A229F"/>
    <w:rsid w:val="006A34AC"/>
    <w:rsid w:val="006A3E57"/>
    <w:rsid w:val="006A4373"/>
    <w:rsid w:val="006A46A7"/>
    <w:rsid w:val="006A4D18"/>
    <w:rsid w:val="006A4F09"/>
    <w:rsid w:val="006A50E4"/>
    <w:rsid w:val="006A72A0"/>
    <w:rsid w:val="006A7371"/>
    <w:rsid w:val="006B051D"/>
    <w:rsid w:val="006B0D28"/>
    <w:rsid w:val="006B1BA9"/>
    <w:rsid w:val="006B23B0"/>
    <w:rsid w:val="006B2437"/>
    <w:rsid w:val="006B3431"/>
    <w:rsid w:val="006B34C9"/>
    <w:rsid w:val="006B3757"/>
    <w:rsid w:val="006B399A"/>
    <w:rsid w:val="006B3BF5"/>
    <w:rsid w:val="006B4663"/>
    <w:rsid w:val="006B4795"/>
    <w:rsid w:val="006B4AE4"/>
    <w:rsid w:val="006B507D"/>
    <w:rsid w:val="006B5791"/>
    <w:rsid w:val="006B5CCF"/>
    <w:rsid w:val="006B60A2"/>
    <w:rsid w:val="006B6798"/>
    <w:rsid w:val="006B6A4D"/>
    <w:rsid w:val="006B77BE"/>
    <w:rsid w:val="006B7B54"/>
    <w:rsid w:val="006C06AF"/>
    <w:rsid w:val="006C0F76"/>
    <w:rsid w:val="006C1340"/>
    <w:rsid w:val="006C17C8"/>
    <w:rsid w:val="006C23C2"/>
    <w:rsid w:val="006C33AC"/>
    <w:rsid w:val="006C496B"/>
    <w:rsid w:val="006C4B1F"/>
    <w:rsid w:val="006C5815"/>
    <w:rsid w:val="006C5C39"/>
    <w:rsid w:val="006C6FBB"/>
    <w:rsid w:val="006C723E"/>
    <w:rsid w:val="006C7B71"/>
    <w:rsid w:val="006D01E3"/>
    <w:rsid w:val="006D2D6F"/>
    <w:rsid w:val="006D3A6D"/>
    <w:rsid w:val="006D3B04"/>
    <w:rsid w:val="006D46C6"/>
    <w:rsid w:val="006D4F91"/>
    <w:rsid w:val="006D5480"/>
    <w:rsid w:val="006D5556"/>
    <w:rsid w:val="006D6147"/>
    <w:rsid w:val="006D6DB3"/>
    <w:rsid w:val="006E0419"/>
    <w:rsid w:val="006E04F9"/>
    <w:rsid w:val="006E0CF5"/>
    <w:rsid w:val="006E15B5"/>
    <w:rsid w:val="006E161E"/>
    <w:rsid w:val="006E18EB"/>
    <w:rsid w:val="006E1A69"/>
    <w:rsid w:val="006E1C31"/>
    <w:rsid w:val="006E1C41"/>
    <w:rsid w:val="006E2066"/>
    <w:rsid w:val="006E20B6"/>
    <w:rsid w:val="006E2293"/>
    <w:rsid w:val="006E2F1C"/>
    <w:rsid w:val="006E31A3"/>
    <w:rsid w:val="006E45CC"/>
    <w:rsid w:val="006E4640"/>
    <w:rsid w:val="006E52E1"/>
    <w:rsid w:val="006E5A63"/>
    <w:rsid w:val="006E5C6C"/>
    <w:rsid w:val="006E5D11"/>
    <w:rsid w:val="006E63DE"/>
    <w:rsid w:val="006E6A42"/>
    <w:rsid w:val="006E6D38"/>
    <w:rsid w:val="006E70D1"/>
    <w:rsid w:val="006E7662"/>
    <w:rsid w:val="006E7818"/>
    <w:rsid w:val="006F04D9"/>
    <w:rsid w:val="006F07FA"/>
    <w:rsid w:val="006F0905"/>
    <w:rsid w:val="006F09F8"/>
    <w:rsid w:val="006F0FBF"/>
    <w:rsid w:val="006F137B"/>
    <w:rsid w:val="006F1B2E"/>
    <w:rsid w:val="006F1DC1"/>
    <w:rsid w:val="006F2292"/>
    <w:rsid w:val="006F27D4"/>
    <w:rsid w:val="006F31D7"/>
    <w:rsid w:val="006F3670"/>
    <w:rsid w:val="006F3932"/>
    <w:rsid w:val="006F3B2C"/>
    <w:rsid w:val="006F4618"/>
    <w:rsid w:val="006F48D3"/>
    <w:rsid w:val="006F4901"/>
    <w:rsid w:val="006F4EBC"/>
    <w:rsid w:val="006F4FF4"/>
    <w:rsid w:val="006F617A"/>
    <w:rsid w:val="006F6D52"/>
    <w:rsid w:val="007001BB"/>
    <w:rsid w:val="00701416"/>
    <w:rsid w:val="0070184C"/>
    <w:rsid w:val="0070216A"/>
    <w:rsid w:val="007028E7"/>
    <w:rsid w:val="00702B65"/>
    <w:rsid w:val="00703640"/>
    <w:rsid w:val="007039B7"/>
    <w:rsid w:val="00703CAD"/>
    <w:rsid w:val="0070401B"/>
    <w:rsid w:val="00704082"/>
    <w:rsid w:val="00704A8E"/>
    <w:rsid w:val="00704B85"/>
    <w:rsid w:val="00705371"/>
    <w:rsid w:val="007058AF"/>
    <w:rsid w:val="00707463"/>
    <w:rsid w:val="007077DC"/>
    <w:rsid w:val="00707DAE"/>
    <w:rsid w:val="00710C2B"/>
    <w:rsid w:val="00711F4B"/>
    <w:rsid w:val="007132E8"/>
    <w:rsid w:val="00713384"/>
    <w:rsid w:val="00713D73"/>
    <w:rsid w:val="007141E1"/>
    <w:rsid w:val="00714F31"/>
    <w:rsid w:val="007157AF"/>
    <w:rsid w:val="0071593B"/>
    <w:rsid w:val="00716869"/>
    <w:rsid w:val="00716B8E"/>
    <w:rsid w:val="0071766B"/>
    <w:rsid w:val="00720685"/>
    <w:rsid w:val="007215B7"/>
    <w:rsid w:val="007219F6"/>
    <w:rsid w:val="00722046"/>
    <w:rsid w:val="00722A2A"/>
    <w:rsid w:val="00722CFC"/>
    <w:rsid w:val="00723D1F"/>
    <w:rsid w:val="0072440A"/>
    <w:rsid w:val="00724504"/>
    <w:rsid w:val="007247EB"/>
    <w:rsid w:val="007257D4"/>
    <w:rsid w:val="00725C16"/>
    <w:rsid w:val="00726485"/>
    <w:rsid w:val="00726F2B"/>
    <w:rsid w:val="007272FE"/>
    <w:rsid w:val="007275EB"/>
    <w:rsid w:val="00730222"/>
    <w:rsid w:val="00732F1A"/>
    <w:rsid w:val="00733151"/>
    <w:rsid w:val="00733AC8"/>
    <w:rsid w:val="00734A87"/>
    <w:rsid w:val="00734CF6"/>
    <w:rsid w:val="00735189"/>
    <w:rsid w:val="0073580C"/>
    <w:rsid w:val="007360FB"/>
    <w:rsid w:val="0073648D"/>
    <w:rsid w:val="00736823"/>
    <w:rsid w:val="007369A0"/>
    <w:rsid w:val="00736AFC"/>
    <w:rsid w:val="00736C69"/>
    <w:rsid w:val="00737DC6"/>
    <w:rsid w:val="00740431"/>
    <w:rsid w:val="00740E6A"/>
    <w:rsid w:val="007413D9"/>
    <w:rsid w:val="0074150C"/>
    <w:rsid w:val="007419AB"/>
    <w:rsid w:val="00742024"/>
    <w:rsid w:val="0074265B"/>
    <w:rsid w:val="007434B4"/>
    <w:rsid w:val="00744360"/>
    <w:rsid w:val="007455AC"/>
    <w:rsid w:val="00745685"/>
    <w:rsid w:val="00745735"/>
    <w:rsid w:val="0074593E"/>
    <w:rsid w:val="007460BC"/>
    <w:rsid w:val="00746586"/>
    <w:rsid w:val="007465B8"/>
    <w:rsid w:val="007469E5"/>
    <w:rsid w:val="00747190"/>
    <w:rsid w:val="00747779"/>
    <w:rsid w:val="00747DDA"/>
    <w:rsid w:val="00747F03"/>
    <w:rsid w:val="00750446"/>
    <w:rsid w:val="00751132"/>
    <w:rsid w:val="00751A37"/>
    <w:rsid w:val="00751F7C"/>
    <w:rsid w:val="00752B7F"/>
    <w:rsid w:val="00753FAF"/>
    <w:rsid w:val="00754A2E"/>
    <w:rsid w:val="007556C8"/>
    <w:rsid w:val="00755F77"/>
    <w:rsid w:val="007567BC"/>
    <w:rsid w:val="007568EE"/>
    <w:rsid w:val="00757169"/>
    <w:rsid w:val="00757840"/>
    <w:rsid w:val="007601F3"/>
    <w:rsid w:val="007606C3"/>
    <w:rsid w:val="007608F6"/>
    <w:rsid w:val="00760E64"/>
    <w:rsid w:val="007611A9"/>
    <w:rsid w:val="007614FE"/>
    <w:rsid w:val="00761A76"/>
    <w:rsid w:val="00761C5D"/>
    <w:rsid w:val="00761F02"/>
    <w:rsid w:val="007624D5"/>
    <w:rsid w:val="007627DD"/>
    <w:rsid w:val="0076488F"/>
    <w:rsid w:val="00765187"/>
    <w:rsid w:val="0076597A"/>
    <w:rsid w:val="00765AED"/>
    <w:rsid w:val="0076675E"/>
    <w:rsid w:val="0076684A"/>
    <w:rsid w:val="00767220"/>
    <w:rsid w:val="007712CC"/>
    <w:rsid w:val="00771449"/>
    <w:rsid w:val="00771DE6"/>
    <w:rsid w:val="007723AB"/>
    <w:rsid w:val="0077273F"/>
    <w:rsid w:val="0077276B"/>
    <w:rsid w:val="00772935"/>
    <w:rsid w:val="007735AD"/>
    <w:rsid w:val="00773EA7"/>
    <w:rsid w:val="007741AD"/>
    <w:rsid w:val="00774632"/>
    <w:rsid w:val="00774BF7"/>
    <w:rsid w:val="00775065"/>
    <w:rsid w:val="00775C04"/>
    <w:rsid w:val="0077620D"/>
    <w:rsid w:val="00777B6C"/>
    <w:rsid w:val="00780CB0"/>
    <w:rsid w:val="00780DDA"/>
    <w:rsid w:val="00780E7A"/>
    <w:rsid w:val="007815D9"/>
    <w:rsid w:val="00782391"/>
    <w:rsid w:val="007832B7"/>
    <w:rsid w:val="007836A9"/>
    <w:rsid w:val="00783BC4"/>
    <w:rsid w:val="00784134"/>
    <w:rsid w:val="007847B2"/>
    <w:rsid w:val="0078534C"/>
    <w:rsid w:val="00785382"/>
    <w:rsid w:val="00785952"/>
    <w:rsid w:val="00785D59"/>
    <w:rsid w:val="00786755"/>
    <w:rsid w:val="00786A8E"/>
    <w:rsid w:val="00786D3B"/>
    <w:rsid w:val="00787111"/>
    <w:rsid w:val="00787136"/>
    <w:rsid w:val="0078751B"/>
    <w:rsid w:val="00787713"/>
    <w:rsid w:val="00787B90"/>
    <w:rsid w:val="007928E2"/>
    <w:rsid w:val="00793544"/>
    <w:rsid w:val="007936B7"/>
    <w:rsid w:val="007938A2"/>
    <w:rsid w:val="00793C99"/>
    <w:rsid w:val="007946C7"/>
    <w:rsid w:val="007948EB"/>
    <w:rsid w:val="00794E31"/>
    <w:rsid w:val="007951AA"/>
    <w:rsid w:val="007952A5"/>
    <w:rsid w:val="0079531F"/>
    <w:rsid w:val="007954B5"/>
    <w:rsid w:val="00795905"/>
    <w:rsid w:val="00795D1A"/>
    <w:rsid w:val="00796100"/>
    <w:rsid w:val="007972B8"/>
    <w:rsid w:val="00797518"/>
    <w:rsid w:val="007975C6"/>
    <w:rsid w:val="007A113A"/>
    <w:rsid w:val="007A2398"/>
    <w:rsid w:val="007A2789"/>
    <w:rsid w:val="007A33DB"/>
    <w:rsid w:val="007A3ABD"/>
    <w:rsid w:val="007A437C"/>
    <w:rsid w:val="007A4B56"/>
    <w:rsid w:val="007A54CF"/>
    <w:rsid w:val="007A5DDD"/>
    <w:rsid w:val="007A69F1"/>
    <w:rsid w:val="007A6B90"/>
    <w:rsid w:val="007B00EC"/>
    <w:rsid w:val="007B0338"/>
    <w:rsid w:val="007B0520"/>
    <w:rsid w:val="007B1E7B"/>
    <w:rsid w:val="007B2232"/>
    <w:rsid w:val="007B2FBF"/>
    <w:rsid w:val="007B3FCE"/>
    <w:rsid w:val="007B4A00"/>
    <w:rsid w:val="007B644C"/>
    <w:rsid w:val="007B65F8"/>
    <w:rsid w:val="007B6F41"/>
    <w:rsid w:val="007C0C56"/>
    <w:rsid w:val="007C1C7D"/>
    <w:rsid w:val="007C2A63"/>
    <w:rsid w:val="007C2C9D"/>
    <w:rsid w:val="007C302F"/>
    <w:rsid w:val="007C3340"/>
    <w:rsid w:val="007C33C7"/>
    <w:rsid w:val="007C3562"/>
    <w:rsid w:val="007C472D"/>
    <w:rsid w:val="007C4B9E"/>
    <w:rsid w:val="007C5079"/>
    <w:rsid w:val="007C5C1F"/>
    <w:rsid w:val="007C5F6A"/>
    <w:rsid w:val="007C6ED7"/>
    <w:rsid w:val="007C76F3"/>
    <w:rsid w:val="007D0885"/>
    <w:rsid w:val="007D1565"/>
    <w:rsid w:val="007D23C8"/>
    <w:rsid w:val="007D348B"/>
    <w:rsid w:val="007D3A8A"/>
    <w:rsid w:val="007D405F"/>
    <w:rsid w:val="007D460B"/>
    <w:rsid w:val="007D4B4D"/>
    <w:rsid w:val="007D4EAE"/>
    <w:rsid w:val="007D50E3"/>
    <w:rsid w:val="007D57AF"/>
    <w:rsid w:val="007D5C23"/>
    <w:rsid w:val="007D6CB8"/>
    <w:rsid w:val="007D6E84"/>
    <w:rsid w:val="007D6F7B"/>
    <w:rsid w:val="007D71A8"/>
    <w:rsid w:val="007D7812"/>
    <w:rsid w:val="007D7FD9"/>
    <w:rsid w:val="007E0993"/>
    <w:rsid w:val="007E0B00"/>
    <w:rsid w:val="007E11C5"/>
    <w:rsid w:val="007E1305"/>
    <w:rsid w:val="007E16F5"/>
    <w:rsid w:val="007E1DC0"/>
    <w:rsid w:val="007E252A"/>
    <w:rsid w:val="007E256E"/>
    <w:rsid w:val="007E2C2B"/>
    <w:rsid w:val="007E2F36"/>
    <w:rsid w:val="007E3355"/>
    <w:rsid w:val="007E4296"/>
    <w:rsid w:val="007E44C6"/>
    <w:rsid w:val="007E4784"/>
    <w:rsid w:val="007E484A"/>
    <w:rsid w:val="007E4969"/>
    <w:rsid w:val="007E5152"/>
    <w:rsid w:val="007E5338"/>
    <w:rsid w:val="007E5BC4"/>
    <w:rsid w:val="007E6291"/>
    <w:rsid w:val="007E636A"/>
    <w:rsid w:val="007E6A04"/>
    <w:rsid w:val="007E7B7B"/>
    <w:rsid w:val="007E7E52"/>
    <w:rsid w:val="007F00E6"/>
    <w:rsid w:val="007F0E3F"/>
    <w:rsid w:val="007F16DB"/>
    <w:rsid w:val="007F1C7E"/>
    <w:rsid w:val="007F235F"/>
    <w:rsid w:val="007F3184"/>
    <w:rsid w:val="007F4996"/>
    <w:rsid w:val="007F4D5D"/>
    <w:rsid w:val="007F4E6F"/>
    <w:rsid w:val="007F5131"/>
    <w:rsid w:val="007F589A"/>
    <w:rsid w:val="007F5A41"/>
    <w:rsid w:val="007F5C7E"/>
    <w:rsid w:val="007F5C8A"/>
    <w:rsid w:val="007F6ECA"/>
    <w:rsid w:val="008006DF"/>
    <w:rsid w:val="00800C27"/>
    <w:rsid w:val="00800C2F"/>
    <w:rsid w:val="00800EB0"/>
    <w:rsid w:val="00801B24"/>
    <w:rsid w:val="008022FA"/>
    <w:rsid w:val="00802842"/>
    <w:rsid w:val="008029A3"/>
    <w:rsid w:val="00802D88"/>
    <w:rsid w:val="008041E9"/>
    <w:rsid w:val="00804C06"/>
    <w:rsid w:val="0080507C"/>
    <w:rsid w:val="0080530F"/>
    <w:rsid w:val="00805524"/>
    <w:rsid w:val="00805B8A"/>
    <w:rsid w:val="00805E68"/>
    <w:rsid w:val="008060D9"/>
    <w:rsid w:val="00806D10"/>
    <w:rsid w:val="00807280"/>
    <w:rsid w:val="00807527"/>
    <w:rsid w:val="008075D4"/>
    <w:rsid w:val="008100B3"/>
    <w:rsid w:val="00811539"/>
    <w:rsid w:val="00811559"/>
    <w:rsid w:val="0081174E"/>
    <w:rsid w:val="00811824"/>
    <w:rsid w:val="00813172"/>
    <w:rsid w:val="008137E0"/>
    <w:rsid w:val="00814617"/>
    <w:rsid w:val="00814F1A"/>
    <w:rsid w:val="00815685"/>
    <w:rsid w:val="00815CDD"/>
    <w:rsid w:val="00815E20"/>
    <w:rsid w:val="008168BB"/>
    <w:rsid w:val="008171F2"/>
    <w:rsid w:val="008205E0"/>
    <w:rsid w:val="008206CD"/>
    <w:rsid w:val="00820C24"/>
    <w:rsid w:val="00821913"/>
    <w:rsid w:val="00821980"/>
    <w:rsid w:val="0082213F"/>
    <w:rsid w:val="0082253F"/>
    <w:rsid w:val="00823B5F"/>
    <w:rsid w:val="00823E89"/>
    <w:rsid w:val="00824B7E"/>
    <w:rsid w:val="00825D9F"/>
    <w:rsid w:val="00826848"/>
    <w:rsid w:val="00826A07"/>
    <w:rsid w:val="00826DA1"/>
    <w:rsid w:val="00826FDC"/>
    <w:rsid w:val="0083193B"/>
    <w:rsid w:val="00831C14"/>
    <w:rsid w:val="00832352"/>
    <w:rsid w:val="008327F1"/>
    <w:rsid w:val="0083358D"/>
    <w:rsid w:val="00833685"/>
    <w:rsid w:val="00833987"/>
    <w:rsid w:val="008348A7"/>
    <w:rsid w:val="00834B5A"/>
    <w:rsid w:val="00834DF7"/>
    <w:rsid w:val="008368A0"/>
    <w:rsid w:val="00840AB2"/>
    <w:rsid w:val="008417A5"/>
    <w:rsid w:val="00841B21"/>
    <w:rsid w:val="00842D56"/>
    <w:rsid w:val="00842ED8"/>
    <w:rsid w:val="00844573"/>
    <w:rsid w:val="00844C56"/>
    <w:rsid w:val="008459F3"/>
    <w:rsid w:val="00845C17"/>
    <w:rsid w:val="00845F6A"/>
    <w:rsid w:val="00846C2C"/>
    <w:rsid w:val="00847766"/>
    <w:rsid w:val="00847986"/>
    <w:rsid w:val="00847FEC"/>
    <w:rsid w:val="0085129C"/>
    <w:rsid w:val="00851977"/>
    <w:rsid w:val="00851D84"/>
    <w:rsid w:val="00851EDD"/>
    <w:rsid w:val="00852675"/>
    <w:rsid w:val="00852853"/>
    <w:rsid w:val="00853251"/>
    <w:rsid w:val="00854301"/>
    <w:rsid w:val="00855614"/>
    <w:rsid w:val="008558C2"/>
    <w:rsid w:val="008570AA"/>
    <w:rsid w:val="00857168"/>
    <w:rsid w:val="00857BF5"/>
    <w:rsid w:val="00860E07"/>
    <w:rsid w:val="008612B9"/>
    <w:rsid w:val="008613AD"/>
    <w:rsid w:val="0086223C"/>
    <w:rsid w:val="00862AC9"/>
    <w:rsid w:val="00862E2B"/>
    <w:rsid w:val="00863525"/>
    <w:rsid w:val="008635E8"/>
    <w:rsid w:val="00863896"/>
    <w:rsid w:val="00863C00"/>
    <w:rsid w:val="00865429"/>
    <w:rsid w:val="00865FC0"/>
    <w:rsid w:val="00865FEB"/>
    <w:rsid w:val="0086635F"/>
    <w:rsid w:val="0086659F"/>
    <w:rsid w:val="00866B3B"/>
    <w:rsid w:val="008706F9"/>
    <w:rsid w:val="00871BBB"/>
    <w:rsid w:val="008727AF"/>
    <w:rsid w:val="00873CDE"/>
    <w:rsid w:val="008747A9"/>
    <w:rsid w:val="00874AEE"/>
    <w:rsid w:val="00874C18"/>
    <w:rsid w:val="00875458"/>
    <w:rsid w:val="008758A8"/>
    <w:rsid w:val="008760CC"/>
    <w:rsid w:val="00876925"/>
    <w:rsid w:val="00876B6B"/>
    <w:rsid w:val="008778D6"/>
    <w:rsid w:val="00877941"/>
    <w:rsid w:val="0088016F"/>
    <w:rsid w:val="00880359"/>
    <w:rsid w:val="0088062D"/>
    <w:rsid w:val="00880C22"/>
    <w:rsid w:val="00881408"/>
    <w:rsid w:val="00881AD8"/>
    <w:rsid w:val="0088206F"/>
    <w:rsid w:val="00882168"/>
    <w:rsid w:val="008821CE"/>
    <w:rsid w:val="00882419"/>
    <w:rsid w:val="008828A3"/>
    <w:rsid w:val="00882F88"/>
    <w:rsid w:val="008836B3"/>
    <w:rsid w:val="00883835"/>
    <w:rsid w:val="0088421E"/>
    <w:rsid w:val="00884527"/>
    <w:rsid w:val="00884EC0"/>
    <w:rsid w:val="00885429"/>
    <w:rsid w:val="00885B3B"/>
    <w:rsid w:val="00886054"/>
    <w:rsid w:val="00886174"/>
    <w:rsid w:val="008862FF"/>
    <w:rsid w:val="00886FAE"/>
    <w:rsid w:val="00887570"/>
    <w:rsid w:val="0088767A"/>
    <w:rsid w:val="008915BB"/>
    <w:rsid w:val="00892C67"/>
    <w:rsid w:val="00892D2C"/>
    <w:rsid w:val="00893340"/>
    <w:rsid w:val="00893495"/>
    <w:rsid w:val="00893531"/>
    <w:rsid w:val="00893542"/>
    <w:rsid w:val="008952DA"/>
    <w:rsid w:val="00895D20"/>
    <w:rsid w:val="008961A9"/>
    <w:rsid w:val="00897625"/>
    <w:rsid w:val="00897720"/>
    <w:rsid w:val="008978AE"/>
    <w:rsid w:val="008A01D5"/>
    <w:rsid w:val="008A0865"/>
    <w:rsid w:val="008A1CBE"/>
    <w:rsid w:val="008A1CC1"/>
    <w:rsid w:val="008A1E03"/>
    <w:rsid w:val="008A32B5"/>
    <w:rsid w:val="008A3538"/>
    <w:rsid w:val="008A400C"/>
    <w:rsid w:val="008A4512"/>
    <w:rsid w:val="008A4564"/>
    <w:rsid w:val="008A62B9"/>
    <w:rsid w:val="008A64F6"/>
    <w:rsid w:val="008A663E"/>
    <w:rsid w:val="008A664A"/>
    <w:rsid w:val="008A6C2A"/>
    <w:rsid w:val="008A7562"/>
    <w:rsid w:val="008A75A2"/>
    <w:rsid w:val="008B020C"/>
    <w:rsid w:val="008B064A"/>
    <w:rsid w:val="008B0887"/>
    <w:rsid w:val="008B09BE"/>
    <w:rsid w:val="008B0CF2"/>
    <w:rsid w:val="008B0D64"/>
    <w:rsid w:val="008B3391"/>
    <w:rsid w:val="008B35FF"/>
    <w:rsid w:val="008B3914"/>
    <w:rsid w:val="008B3B34"/>
    <w:rsid w:val="008B4EC9"/>
    <w:rsid w:val="008B4ECD"/>
    <w:rsid w:val="008B5620"/>
    <w:rsid w:val="008B5F0C"/>
    <w:rsid w:val="008B685F"/>
    <w:rsid w:val="008B6B84"/>
    <w:rsid w:val="008B6EF6"/>
    <w:rsid w:val="008B70FA"/>
    <w:rsid w:val="008B7BB3"/>
    <w:rsid w:val="008B7C50"/>
    <w:rsid w:val="008B7C74"/>
    <w:rsid w:val="008B7E9E"/>
    <w:rsid w:val="008C008E"/>
    <w:rsid w:val="008C0BB5"/>
    <w:rsid w:val="008C0F84"/>
    <w:rsid w:val="008C2834"/>
    <w:rsid w:val="008C29DE"/>
    <w:rsid w:val="008C2AF3"/>
    <w:rsid w:val="008C2DE1"/>
    <w:rsid w:val="008C3A07"/>
    <w:rsid w:val="008C41AF"/>
    <w:rsid w:val="008C47C2"/>
    <w:rsid w:val="008C59E1"/>
    <w:rsid w:val="008C5C9B"/>
    <w:rsid w:val="008C6FFD"/>
    <w:rsid w:val="008C7964"/>
    <w:rsid w:val="008C7F04"/>
    <w:rsid w:val="008D0C02"/>
    <w:rsid w:val="008D0D99"/>
    <w:rsid w:val="008D108D"/>
    <w:rsid w:val="008D201F"/>
    <w:rsid w:val="008D2741"/>
    <w:rsid w:val="008D29E2"/>
    <w:rsid w:val="008D3B69"/>
    <w:rsid w:val="008D3D58"/>
    <w:rsid w:val="008D3FC4"/>
    <w:rsid w:val="008D4621"/>
    <w:rsid w:val="008D4964"/>
    <w:rsid w:val="008D499A"/>
    <w:rsid w:val="008D4A08"/>
    <w:rsid w:val="008D5A64"/>
    <w:rsid w:val="008D63C6"/>
    <w:rsid w:val="008D71E1"/>
    <w:rsid w:val="008E18F9"/>
    <w:rsid w:val="008E1B2E"/>
    <w:rsid w:val="008E2E02"/>
    <w:rsid w:val="008E3051"/>
    <w:rsid w:val="008E30B3"/>
    <w:rsid w:val="008E3392"/>
    <w:rsid w:val="008E38DC"/>
    <w:rsid w:val="008E3A93"/>
    <w:rsid w:val="008E3C1A"/>
    <w:rsid w:val="008E40EB"/>
    <w:rsid w:val="008E4ED5"/>
    <w:rsid w:val="008E6566"/>
    <w:rsid w:val="008E65E2"/>
    <w:rsid w:val="008E6804"/>
    <w:rsid w:val="008E6DFB"/>
    <w:rsid w:val="008E76A7"/>
    <w:rsid w:val="008F085D"/>
    <w:rsid w:val="008F0E77"/>
    <w:rsid w:val="008F1C57"/>
    <w:rsid w:val="008F2B39"/>
    <w:rsid w:val="008F3332"/>
    <w:rsid w:val="008F3499"/>
    <w:rsid w:val="008F587E"/>
    <w:rsid w:val="008F58EF"/>
    <w:rsid w:val="008F591B"/>
    <w:rsid w:val="008F5ACE"/>
    <w:rsid w:val="008F63FC"/>
    <w:rsid w:val="008F6500"/>
    <w:rsid w:val="008F6C94"/>
    <w:rsid w:val="008F73EE"/>
    <w:rsid w:val="00900281"/>
    <w:rsid w:val="00901100"/>
    <w:rsid w:val="00901406"/>
    <w:rsid w:val="00901741"/>
    <w:rsid w:val="00901880"/>
    <w:rsid w:val="00901A21"/>
    <w:rsid w:val="00901F5B"/>
    <w:rsid w:val="0090312E"/>
    <w:rsid w:val="00903231"/>
    <w:rsid w:val="0090323D"/>
    <w:rsid w:val="00903249"/>
    <w:rsid w:val="00903285"/>
    <w:rsid w:val="0090365C"/>
    <w:rsid w:val="009040DE"/>
    <w:rsid w:val="00904101"/>
    <w:rsid w:val="00904FDD"/>
    <w:rsid w:val="009051CE"/>
    <w:rsid w:val="009055CB"/>
    <w:rsid w:val="00905D1C"/>
    <w:rsid w:val="009069C0"/>
    <w:rsid w:val="009073B7"/>
    <w:rsid w:val="0090766C"/>
    <w:rsid w:val="00907A99"/>
    <w:rsid w:val="009104BE"/>
    <w:rsid w:val="00910FB9"/>
    <w:rsid w:val="0091102F"/>
    <w:rsid w:val="00912644"/>
    <w:rsid w:val="00912E36"/>
    <w:rsid w:val="00912F53"/>
    <w:rsid w:val="009130C4"/>
    <w:rsid w:val="009138A1"/>
    <w:rsid w:val="00913D07"/>
    <w:rsid w:val="00914055"/>
    <w:rsid w:val="00914D52"/>
    <w:rsid w:val="00915C2A"/>
    <w:rsid w:val="00915DAA"/>
    <w:rsid w:val="00916580"/>
    <w:rsid w:val="00916BE6"/>
    <w:rsid w:val="0091715D"/>
    <w:rsid w:val="00917601"/>
    <w:rsid w:val="009179EE"/>
    <w:rsid w:val="00917B30"/>
    <w:rsid w:val="00920279"/>
    <w:rsid w:val="00920A57"/>
    <w:rsid w:val="00920B95"/>
    <w:rsid w:val="00921054"/>
    <w:rsid w:val="00921556"/>
    <w:rsid w:val="0092181D"/>
    <w:rsid w:val="00921C52"/>
    <w:rsid w:val="00921F15"/>
    <w:rsid w:val="00921FB8"/>
    <w:rsid w:val="009220A8"/>
    <w:rsid w:val="009220E1"/>
    <w:rsid w:val="009226FF"/>
    <w:rsid w:val="009227F0"/>
    <w:rsid w:val="00922BF1"/>
    <w:rsid w:val="00922DDF"/>
    <w:rsid w:val="009230D3"/>
    <w:rsid w:val="0092412A"/>
    <w:rsid w:val="00924704"/>
    <w:rsid w:val="0092516A"/>
    <w:rsid w:val="009258D3"/>
    <w:rsid w:val="00925B77"/>
    <w:rsid w:val="00925CB9"/>
    <w:rsid w:val="00926914"/>
    <w:rsid w:val="00926E98"/>
    <w:rsid w:val="0093049E"/>
    <w:rsid w:val="00932594"/>
    <w:rsid w:val="00932C05"/>
    <w:rsid w:val="00932D24"/>
    <w:rsid w:val="00933A94"/>
    <w:rsid w:val="00934305"/>
    <w:rsid w:val="0093449D"/>
    <w:rsid w:val="00934976"/>
    <w:rsid w:val="00935DBD"/>
    <w:rsid w:val="00936B49"/>
    <w:rsid w:val="0093744F"/>
    <w:rsid w:val="00940A57"/>
    <w:rsid w:val="009438E2"/>
    <w:rsid w:val="00943973"/>
    <w:rsid w:val="00943F2F"/>
    <w:rsid w:val="009440E8"/>
    <w:rsid w:val="0094476B"/>
    <w:rsid w:val="00944F45"/>
    <w:rsid w:val="0094570D"/>
    <w:rsid w:val="00945FCD"/>
    <w:rsid w:val="00946567"/>
    <w:rsid w:val="0094668F"/>
    <w:rsid w:val="009471C8"/>
    <w:rsid w:val="00950695"/>
    <w:rsid w:val="00950768"/>
    <w:rsid w:val="00950C46"/>
    <w:rsid w:val="00951665"/>
    <w:rsid w:val="00951E05"/>
    <w:rsid w:val="009523BC"/>
    <w:rsid w:val="0095283A"/>
    <w:rsid w:val="00952FCE"/>
    <w:rsid w:val="009530CA"/>
    <w:rsid w:val="00953295"/>
    <w:rsid w:val="009533D4"/>
    <w:rsid w:val="009536C0"/>
    <w:rsid w:val="0095468D"/>
    <w:rsid w:val="00955A0A"/>
    <w:rsid w:val="00955C7A"/>
    <w:rsid w:val="00956792"/>
    <w:rsid w:val="0095747C"/>
    <w:rsid w:val="009575AE"/>
    <w:rsid w:val="0096020B"/>
    <w:rsid w:val="0096037C"/>
    <w:rsid w:val="009605C3"/>
    <w:rsid w:val="009609F9"/>
    <w:rsid w:val="00960AEF"/>
    <w:rsid w:val="00960B29"/>
    <w:rsid w:val="00961519"/>
    <w:rsid w:val="00963AE9"/>
    <w:rsid w:val="00964404"/>
    <w:rsid w:val="009663CE"/>
    <w:rsid w:val="009664E6"/>
    <w:rsid w:val="00966666"/>
    <w:rsid w:val="00966A87"/>
    <w:rsid w:val="00967B29"/>
    <w:rsid w:val="00967EB5"/>
    <w:rsid w:val="00967F67"/>
    <w:rsid w:val="00967FA0"/>
    <w:rsid w:val="0097053B"/>
    <w:rsid w:val="00970CE8"/>
    <w:rsid w:val="009716E8"/>
    <w:rsid w:val="009729F2"/>
    <w:rsid w:val="00974D37"/>
    <w:rsid w:val="00974E44"/>
    <w:rsid w:val="00976347"/>
    <w:rsid w:val="009764A4"/>
    <w:rsid w:val="009771AA"/>
    <w:rsid w:val="0097743E"/>
    <w:rsid w:val="00977853"/>
    <w:rsid w:val="00980724"/>
    <w:rsid w:val="009808B0"/>
    <w:rsid w:val="0098151F"/>
    <w:rsid w:val="00981EFE"/>
    <w:rsid w:val="009822D7"/>
    <w:rsid w:val="009822F0"/>
    <w:rsid w:val="009829FA"/>
    <w:rsid w:val="00983A67"/>
    <w:rsid w:val="00983E55"/>
    <w:rsid w:val="009864CF"/>
    <w:rsid w:val="009868D4"/>
    <w:rsid w:val="0099031D"/>
    <w:rsid w:val="009914BC"/>
    <w:rsid w:val="00991EB4"/>
    <w:rsid w:val="00991FA8"/>
    <w:rsid w:val="009928A8"/>
    <w:rsid w:val="00992BAF"/>
    <w:rsid w:val="00992F43"/>
    <w:rsid w:val="009933A7"/>
    <w:rsid w:val="00993871"/>
    <w:rsid w:val="00994C2B"/>
    <w:rsid w:val="00994C30"/>
    <w:rsid w:val="00994DAF"/>
    <w:rsid w:val="00995921"/>
    <w:rsid w:val="009966C1"/>
    <w:rsid w:val="00996896"/>
    <w:rsid w:val="00996B4D"/>
    <w:rsid w:val="00996D0D"/>
    <w:rsid w:val="009978B8"/>
    <w:rsid w:val="009A0AA3"/>
    <w:rsid w:val="009A0CC4"/>
    <w:rsid w:val="009A0D6D"/>
    <w:rsid w:val="009A0EAF"/>
    <w:rsid w:val="009A1868"/>
    <w:rsid w:val="009A2CBF"/>
    <w:rsid w:val="009A30BF"/>
    <w:rsid w:val="009A3141"/>
    <w:rsid w:val="009A3F9F"/>
    <w:rsid w:val="009A4C47"/>
    <w:rsid w:val="009A4E68"/>
    <w:rsid w:val="009A5E9C"/>
    <w:rsid w:val="009A66E3"/>
    <w:rsid w:val="009A7525"/>
    <w:rsid w:val="009A7664"/>
    <w:rsid w:val="009A7FB8"/>
    <w:rsid w:val="009B06BC"/>
    <w:rsid w:val="009B0F05"/>
    <w:rsid w:val="009B1169"/>
    <w:rsid w:val="009B1687"/>
    <w:rsid w:val="009B1F47"/>
    <w:rsid w:val="009B246D"/>
    <w:rsid w:val="009B2B6A"/>
    <w:rsid w:val="009B2CE0"/>
    <w:rsid w:val="009B2DC3"/>
    <w:rsid w:val="009B327E"/>
    <w:rsid w:val="009B339A"/>
    <w:rsid w:val="009B3680"/>
    <w:rsid w:val="009B4D71"/>
    <w:rsid w:val="009B56E8"/>
    <w:rsid w:val="009B5BE2"/>
    <w:rsid w:val="009B7CE7"/>
    <w:rsid w:val="009C0FE9"/>
    <w:rsid w:val="009C120F"/>
    <w:rsid w:val="009C1F75"/>
    <w:rsid w:val="009C28B2"/>
    <w:rsid w:val="009C29F4"/>
    <w:rsid w:val="009C2A69"/>
    <w:rsid w:val="009C2F1E"/>
    <w:rsid w:val="009C39BD"/>
    <w:rsid w:val="009C4BFC"/>
    <w:rsid w:val="009C7D08"/>
    <w:rsid w:val="009C7F22"/>
    <w:rsid w:val="009D09B9"/>
    <w:rsid w:val="009D09C4"/>
    <w:rsid w:val="009D0A73"/>
    <w:rsid w:val="009D0B90"/>
    <w:rsid w:val="009D19A1"/>
    <w:rsid w:val="009D376A"/>
    <w:rsid w:val="009D3793"/>
    <w:rsid w:val="009D7095"/>
    <w:rsid w:val="009D7428"/>
    <w:rsid w:val="009E04AF"/>
    <w:rsid w:val="009E058B"/>
    <w:rsid w:val="009E0E3B"/>
    <w:rsid w:val="009E26EE"/>
    <w:rsid w:val="009E2B5A"/>
    <w:rsid w:val="009E4A6F"/>
    <w:rsid w:val="009E5BB5"/>
    <w:rsid w:val="009E6986"/>
    <w:rsid w:val="009E69CC"/>
    <w:rsid w:val="009E6AD0"/>
    <w:rsid w:val="009E7682"/>
    <w:rsid w:val="009E7A68"/>
    <w:rsid w:val="009F091E"/>
    <w:rsid w:val="009F09DD"/>
    <w:rsid w:val="009F0F57"/>
    <w:rsid w:val="009F1A29"/>
    <w:rsid w:val="009F3C62"/>
    <w:rsid w:val="009F51BF"/>
    <w:rsid w:val="009F5856"/>
    <w:rsid w:val="009F6612"/>
    <w:rsid w:val="009F730B"/>
    <w:rsid w:val="009F7FB0"/>
    <w:rsid w:val="00A00FE5"/>
    <w:rsid w:val="00A025C8"/>
    <w:rsid w:val="00A028F2"/>
    <w:rsid w:val="00A02F68"/>
    <w:rsid w:val="00A03027"/>
    <w:rsid w:val="00A035B6"/>
    <w:rsid w:val="00A03660"/>
    <w:rsid w:val="00A0440E"/>
    <w:rsid w:val="00A044C1"/>
    <w:rsid w:val="00A055A2"/>
    <w:rsid w:val="00A05BDC"/>
    <w:rsid w:val="00A05FD2"/>
    <w:rsid w:val="00A068BD"/>
    <w:rsid w:val="00A06A3D"/>
    <w:rsid w:val="00A079C5"/>
    <w:rsid w:val="00A10422"/>
    <w:rsid w:val="00A10532"/>
    <w:rsid w:val="00A10993"/>
    <w:rsid w:val="00A10CD8"/>
    <w:rsid w:val="00A10DF5"/>
    <w:rsid w:val="00A118FA"/>
    <w:rsid w:val="00A11C65"/>
    <w:rsid w:val="00A11E2D"/>
    <w:rsid w:val="00A1238E"/>
    <w:rsid w:val="00A12A46"/>
    <w:rsid w:val="00A12AEF"/>
    <w:rsid w:val="00A144AC"/>
    <w:rsid w:val="00A147BA"/>
    <w:rsid w:val="00A14F25"/>
    <w:rsid w:val="00A150CD"/>
    <w:rsid w:val="00A15463"/>
    <w:rsid w:val="00A17698"/>
    <w:rsid w:val="00A20365"/>
    <w:rsid w:val="00A2099A"/>
    <w:rsid w:val="00A20DB6"/>
    <w:rsid w:val="00A21651"/>
    <w:rsid w:val="00A21A8D"/>
    <w:rsid w:val="00A21F26"/>
    <w:rsid w:val="00A23123"/>
    <w:rsid w:val="00A23327"/>
    <w:rsid w:val="00A2364B"/>
    <w:rsid w:val="00A251AA"/>
    <w:rsid w:val="00A251BE"/>
    <w:rsid w:val="00A25285"/>
    <w:rsid w:val="00A26BCF"/>
    <w:rsid w:val="00A27620"/>
    <w:rsid w:val="00A308A5"/>
    <w:rsid w:val="00A309EC"/>
    <w:rsid w:val="00A30A94"/>
    <w:rsid w:val="00A30C20"/>
    <w:rsid w:val="00A31C0C"/>
    <w:rsid w:val="00A322D3"/>
    <w:rsid w:val="00A32970"/>
    <w:rsid w:val="00A33BF9"/>
    <w:rsid w:val="00A340D8"/>
    <w:rsid w:val="00A34794"/>
    <w:rsid w:val="00A34BE9"/>
    <w:rsid w:val="00A35822"/>
    <w:rsid w:val="00A361F8"/>
    <w:rsid w:val="00A364E0"/>
    <w:rsid w:val="00A3740A"/>
    <w:rsid w:val="00A378FA"/>
    <w:rsid w:val="00A4003A"/>
    <w:rsid w:val="00A40151"/>
    <w:rsid w:val="00A404EF"/>
    <w:rsid w:val="00A40786"/>
    <w:rsid w:val="00A410EA"/>
    <w:rsid w:val="00A4267E"/>
    <w:rsid w:val="00A42E82"/>
    <w:rsid w:val="00A42F8F"/>
    <w:rsid w:val="00A42FE8"/>
    <w:rsid w:val="00A437F6"/>
    <w:rsid w:val="00A43B14"/>
    <w:rsid w:val="00A43E7F"/>
    <w:rsid w:val="00A43F6D"/>
    <w:rsid w:val="00A4402D"/>
    <w:rsid w:val="00A443DF"/>
    <w:rsid w:val="00A44AA1"/>
    <w:rsid w:val="00A44DC0"/>
    <w:rsid w:val="00A45A02"/>
    <w:rsid w:val="00A45D07"/>
    <w:rsid w:val="00A46E26"/>
    <w:rsid w:val="00A4789F"/>
    <w:rsid w:val="00A47B85"/>
    <w:rsid w:val="00A503CB"/>
    <w:rsid w:val="00A50417"/>
    <w:rsid w:val="00A513BE"/>
    <w:rsid w:val="00A51450"/>
    <w:rsid w:val="00A519CF"/>
    <w:rsid w:val="00A51B00"/>
    <w:rsid w:val="00A51C8F"/>
    <w:rsid w:val="00A525C4"/>
    <w:rsid w:val="00A52C1A"/>
    <w:rsid w:val="00A53A4C"/>
    <w:rsid w:val="00A53AA9"/>
    <w:rsid w:val="00A53ACE"/>
    <w:rsid w:val="00A53CB3"/>
    <w:rsid w:val="00A543D4"/>
    <w:rsid w:val="00A54A4F"/>
    <w:rsid w:val="00A54ADC"/>
    <w:rsid w:val="00A56A8E"/>
    <w:rsid w:val="00A56B18"/>
    <w:rsid w:val="00A570E7"/>
    <w:rsid w:val="00A5723F"/>
    <w:rsid w:val="00A572BD"/>
    <w:rsid w:val="00A57B0B"/>
    <w:rsid w:val="00A60510"/>
    <w:rsid w:val="00A611BB"/>
    <w:rsid w:val="00A620C9"/>
    <w:rsid w:val="00A6382C"/>
    <w:rsid w:val="00A64028"/>
    <w:rsid w:val="00A64425"/>
    <w:rsid w:val="00A64B5E"/>
    <w:rsid w:val="00A668FB"/>
    <w:rsid w:val="00A6702B"/>
    <w:rsid w:val="00A67240"/>
    <w:rsid w:val="00A7077E"/>
    <w:rsid w:val="00A70DA5"/>
    <w:rsid w:val="00A71189"/>
    <w:rsid w:val="00A71D10"/>
    <w:rsid w:val="00A71D21"/>
    <w:rsid w:val="00A7220C"/>
    <w:rsid w:val="00A7246A"/>
    <w:rsid w:val="00A7267F"/>
    <w:rsid w:val="00A72F6C"/>
    <w:rsid w:val="00A73A8A"/>
    <w:rsid w:val="00A7459B"/>
    <w:rsid w:val="00A74F07"/>
    <w:rsid w:val="00A75972"/>
    <w:rsid w:val="00A76084"/>
    <w:rsid w:val="00A77C3C"/>
    <w:rsid w:val="00A806A9"/>
    <w:rsid w:val="00A807C8"/>
    <w:rsid w:val="00A80A87"/>
    <w:rsid w:val="00A80CB9"/>
    <w:rsid w:val="00A812A3"/>
    <w:rsid w:val="00A81C21"/>
    <w:rsid w:val="00A82862"/>
    <w:rsid w:val="00A832CE"/>
    <w:rsid w:val="00A83F45"/>
    <w:rsid w:val="00A8400E"/>
    <w:rsid w:val="00A867DB"/>
    <w:rsid w:val="00A869D6"/>
    <w:rsid w:val="00A86ECE"/>
    <w:rsid w:val="00A86FCE"/>
    <w:rsid w:val="00A875BE"/>
    <w:rsid w:val="00A877F9"/>
    <w:rsid w:val="00A907E7"/>
    <w:rsid w:val="00A90B18"/>
    <w:rsid w:val="00A921D4"/>
    <w:rsid w:val="00A92883"/>
    <w:rsid w:val="00A92E92"/>
    <w:rsid w:val="00A93090"/>
    <w:rsid w:val="00A93132"/>
    <w:rsid w:val="00A933B4"/>
    <w:rsid w:val="00A95AC6"/>
    <w:rsid w:val="00A95E01"/>
    <w:rsid w:val="00A96972"/>
    <w:rsid w:val="00A96B24"/>
    <w:rsid w:val="00A9710F"/>
    <w:rsid w:val="00A979CB"/>
    <w:rsid w:val="00A97E7A"/>
    <w:rsid w:val="00AA1356"/>
    <w:rsid w:val="00AA4277"/>
    <w:rsid w:val="00AA4545"/>
    <w:rsid w:val="00AA6414"/>
    <w:rsid w:val="00AA6C53"/>
    <w:rsid w:val="00AA6E29"/>
    <w:rsid w:val="00AA6FFA"/>
    <w:rsid w:val="00AA7989"/>
    <w:rsid w:val="00AB03B3"/>
    <w:rsid w:val="00AB05A0"/>
    <w:rsid w:val="00AB0DD6"/>
    <w:rsid w:val="00AB126F"/>
    <w:rsid w:val="00AB1312"/>
    <w:rsid w:val="00AB179F"/>
    <w:rsid w:val="00AB185F"/>
    <w:rsid w:val="00AB210D"/>
    <w:rsid w:val="00AB2161"/>
    <w:rsid w:val="00AB22BF"/>
    <w:rsid w:val="00AB2553"/>
    <w:rsid w:val="00AB4CFA"/>
    <w:rsid w:val="00AB51E4"/>
    <w:rsid w:val="00AB5225"/>
    <w:rsid w:val="00AB621A"/>
    <w:rsid w:val="00AB65F6"/>
    <w:rsid w:val="00AB6CC9"/>
    <w:rsid w:val="00AB704D"/>
    <w:rsid w:val="00AB70A5"/>
    <w:rsid w:val="00AB7655"/>
    <w:rsid w:val="00AB77B3"/>
    <w:rsid w:val="00AB7A04"/>
    <w:rsid w:val="00AB7CAC"/>
    <w:rsid w:val="00AC14AF"/>
    <w:rsid w:val="00AC17FF"/>
    <w:rsid w:val="00AC25B2"/>
    <w:rsid w:val="00AC41C3"/>
    <w:rsid w:val="00AC43DC"/>
    <w:rsid w:val="00AC47B6"/>
    <w:rsid w:val="00AC4AB2"/>
    <w:rsid w:val="00AC558B"/>
    <w:rsid w:val="00AC56B2"/>
    <w:rsid w:val="00AC59A7"/>
    <w:rsid w:val="00AC5FEB"/>
    <w:rsid w:val="00AC671A"/>
    <w:rsid w:val="00AC6800"/>
    <w:rsid w:val="00AC6961"/>
    <w:rsid w:val="00AC6D1C"/>
    <w:rsid w:val="00AC7A8E"/>
    <w:rsid w:val="00AC7AA9"/>
    <w:rsid w:val="00AC7D32"/>
    <w:rsid w:val="00AD0017"/>
    <w:rsid w:val="00AD0343"/>
    <w:rsid w:val="00AD0B8C"/>
    <w:rsid w:val="00AD13DE"/>
    <w:rsid w:val="00AD18F7"/>
    <w:rsid w:val="00AD1D7B"/>
    <w:rsid w:val="00AD25A3"/>
    <w:rsid w:val="00AD323B"/>
    <w:rsid w:val="00AD3712"/>
    <w:rsid w:val="00AD3D71"/>
    <w:rsid w:val="00AD3EA2"/>
    <w:rsid w:val="00AD4070"/>
    <w:rsid w:val="00AD44DC"/>
    <w:rsid w:val="00AD4609"/>
    <w:rsid w:val="00AD5A5C"/>
    <w:rsid w:val="00AE0B31"/>
    <w:rsid w:val="00AE0EF8"/>
    <w:rsid w:val="00AE2908"/>
    <w:rsid w:val="00AE2CBC"/>
    <w:rsid w:val="00AE3218"/>
    <w:rsid w:val="00AE32D9"/>
    <w:rsid w:val="00AE3B1F"/>
    <w:rsid w:val="00AE3BE0"/>
    <w:rsid w:val="00AE3CBD"/>
    <w:rsid w:val="00AE3DD4"/>
    <w:rsid w:val="00AE43C4"/>
    <w:rsid w:val="00AE4454"/>
    <w:rsid w:val="00AE4958"/>
    <w:rsid w:val="00AE4D65"/>
    <w:rsid w:val="00AE52B3"/>
    <w:rsid w:val="00AE58AB"/>
    <w:rsid w:val="00AE7DF5"/>
    <w:rsid w:val="00AF0141"/>
    <w:rsid w:val="00AF0D92"/>
    <w:rsid w:val="00AF1412"/>
    <w:rsid w:val="00AF18B3"/>
    <w:rsid w:val="00AF2875"/>
    <w:rsid w:val="00AF3AFD"/>
    <w:rsid w:val="00AF3BA9"/>
    <w:rsid w:val="00AF4CCA"/>
    <w:rsid w:val="00AF4DA0"/>
    <w:rsid w:val="00AF5435"/>
    <w:rsid w:val="00AF77E8"/>
    <w:rsid w:val="00AF7B5E"/>
    <w:rsid w:val="00B003B4"/>
    <w:rsid w:val="00B004D3"/>
    <w:rsid w:val="00B00540"/>
    <w:rsid w:val="00B00935"/>
    <w:rsid w:val="00B00CF6"/>
    <w:rsid w:val="00B00EB6"/>
    <w:rsid w:val="00B0123C"/>
    <w:rsid w:val="00B012BD"/>
    <w:rsid w:val="00B01409"/>
    <w:rsid w:val="00B014E7"/>
    <w:rsid w:val="00B02A7E"/>
    <w:rsid w:val="00B02D50"/>
    <w:rsid w:val="00B036E5"/>
    <w:rsid w:val="00B04187"/>
    <w:rsid w:val="00B046C8"/>
    <w:rsid w:val="00B048BA"/>
    <w:rsid w:val="00B06424"/>
    <w:rsid w:val="00B06604"/>
    <w:rsid w:val="00B10B2A"/>
    <w:rsid w:val="00B10D66"/>
    <w:rsid w:val="00B115CA"/>
    <w:rsid w:val="00B11D6D"/>
    <w:rsid w:val="00B122B7"/>
    <w:rsid w:val="00B1287D"/>
    <w:rsid w:val="00B13346"/>
    <w:rsid w:val="00B137EA"/>
    <w:rsid w:val="00B13FED"/>
    <w:rsid w:val="00B14152"/>
    <w:rsid w:val="00B141A4"/>
    <w:rsid w:val="00B14513"/>
    <w:rsid w:val="00B147C9"/>
    <w:rsid w:val="00B157BC"/>
    <w:rsid w:val="00B15913"/>
    <w:rsid w:val="00B15ACB"/>
    <w:rsid w:val="00B1686A"/>
    <w:rsid w:val="00B16CCB"/>
    <w:rsid w:val="00B20A7F"/>
    <w:rsid w:val="00B20FEC"/>
    <w:rsid w:val="00B21182"/>
    <w:rsid w:val="00B21621"/>
    <w:rsid w:val="00B216C6"/>
    <w:rsid w:val="00B218D2"/>
    <w:rsid w:val="00B21BCE"/>
    <w:rsid w:val="00B21E7E"/>
    <w:rsid w:val="00B221AB"/>
    <w:rsid w:val="00B2223A"/>
    <w:rsid w:val="00B2265B"/>
    <w:rsid w:val="00B22735"/>
    <w:rsid w:val="00B22ABA"/>
    <w:rsid w:val="00B233A7"/>
    <w:rsid w:val="00B23717"/>
    <w:rsid w:val="00B242AF"/>
    <w:rsid w:val="00B24A89"/>
    <w:rsid w:val="00B24DFF"/>
    <w:rsid w:val="00B2614F"/>
    <w:rsid w:val="00B26607"/>
    <w:rsid w:val="00B2740C"/>
    <w:rsid w:val="00B277C0"/>
    <w:rsid w:val="00B279D4"/>
    <w:rsid w:val="00B27BC6"/>
    <w:rsid w:val="00B27EEB"/>
    <w:rsid w:val="00B30004"/>
    <w:rsid w:val="00B302AC"/>
    <w:rsid w:val="00B318AA"/>
    <w:rsid w:val="00B31CB9"/>
    <w:rsid w:val="00B32EF6"/>
    <w:rsid w:val="00B32F25"/>
    <w:rsid w:val="00B332BE"/>
    <w:rsid w:val="00B33C46"/>
    <w:rsid w:val="00B34914"/>
    <w:rsid w:val="00B352F5"/>
    <w:rsid w:val="00B358E4"/>
    <w:rsid w:val="00B36B3E"/>
    <w:rsid w:val="00B36D0D"/>
    <w:rsid w:val="00B37CD6"/>
    <w:rsid w:val="00B416F4"/>
    <w:rsid w:val="00B41991"/>
    <w:rsid w:val="00B41C5D"/>
    <w:rsid w:val="00B41E8E"/>
    <w:rsid w:val="00B41E9A"/>
    <w:rsid w:val="00B420B0"/>
    <w:rsid w:val="00B42258"/>
    <w:rsid w:val="00B42450"/>
    <w:rsid w:val="00B43C5E"/>
    <w:rsid w:val="00B44107"/>
    <w:rsid w:val="00B45413"/>
    <w:rsid w:val="00B45891"/>
    <w:rsid w:val="00B45F78"/>
    <w:rsid w:val="00B46449"/>
    <w:rsid w:val="00B46A3C"/>
    <w:rsid w:val="00B47871"/>
    <w:rsid w:val="00B47A89"/>
    <w:rsid w:val="00B47E62"/>
    <w:rsid w:val="00B47F99"/>
    <w:rsid w:val="00B50B02"/>
    <w:rsid w:val="00B51A8A"/>
    <w:rsid w:val="00B51CB4"/>
    <w:rsid w:val="00B51D33"/>
    <w:rsid w:val="00B5219D"/>
    <w:rsid w:val="00B52945"/>
    <w:rsid w:val="00B52B57"/>
    <w:rsid w:val="00B53088"/>
    <w:rsid w:val="00B53341"/>
    <w:rsid w:val="00B533D2"/>
    <w:rsid w:val="00B53446"/>
    <w:rsid w:val="00B53710"/>
    <w:rsid w:val="00B53C99"/>
    <w:rsid w:val="00B53D89"/>
    <w:rsid w:val="00B5560A"/>
    <w:rsid w:val="00B558F3"/>
    <w:rsid w:val="00B5673C"/>
    <w:rsid w:val="00B56CDE"/>
    <w:rsid w:val="00B56F65"/>
    <w:rsid w:val="00B5734F"/>
    <w:rsid w:val="00B575F0"/>
    <w:rsid w:val="00B578B5"/>
    <w:rsid w:val="00B600FE"/>
    <w:rsid w:val="00B6048A"/>
    <w:rsid w:val="00B61262"/>
    <w:rsid w:val="00B612C9"/>
    <w:rsid w:val="00B612F1"/>
    <w:rsid w:val="00B618A0"/>
    <w:rsid w:val="00B61F44"/>
    <w:rsid w:val="00B62573"/>
    <w:rsid w:val="00B62591"/>
    <w:rsid w:val="00B629EE"/>
    <w:rsid w:val="00B6426D"/>
    <w:rsid w:val="00B6457A"/>
    <w:rsid w:val="00B64CF4"/>
    <w:rsid w:val="00B650CF"/>
    <w:rsid w:val="00B650F3"/>
    <w:rsid w:val="00B661D4"/>
    <w:rsid w:val="00B667F6"/>
    <w:rsid w:val="00B67D77"/>
    <w:rsid w:val="00B70D74"/>
    <w:rsid w:val="00B71032"/>
    <w:rsid w:val="00B716F8"/>
    <w:rsid w:val="00B71DFB"/>
    <w:rsid w:val="00B71E34"/>
    <w:rsid w:val="00B7326F"/>
    <w:rsid w:val="00B7378C"/>
    <w:rsid w:val="00B73C3A"/>
    <w:rsid w:val="00B745A7"/>
    <w:rsid w:val="00B74953"/>
    <w:rsid w:val="00B762A9"/>
    <w:rsid w:val="00B76371"/>
    <w:rsid w:val="00B76AA9"/>
    <w:rsid w:val="00B77BB6"/>
    <w:rsid w:val="00B80917"/>
    <w:rsid w:val="00B81B3B"/>
    <w:rsid w:val="00B8333A"/>
    <w:rsid w:val="00B83403"/>
    <w:rsid w:val="00B8443F"/>
    <w:rsid w:val="00B86C2B"/>
    <w:rsid w:val="00B87EE4"/>
    <w:rsid w:val="00B87F3F"/>
    <w:rsid w:val="00B91352"/>
    <w:rsid w:val="00B917E2"/>
    <w:rsid w:val="00B91C0F"/>
    <w:rsid w:val="00B924B7"/>
    <w:rsid w:val="00B924B9"/>
    <w:rsid w:val="00B92BEC"/>
    <w:rsid w:val="00B93713"/>
    <w:rsid w:val="00B9388E"/>
    <w:rsid w:val="00B93D7E"/>
    <w:rsid w:val="00B948B3"/>
    <w:rsid w:val="00B95547"/>
    <w:rsid w:val="00B95659"/>
    <w:rsid w:val="00B956A2"/>
    <w:rsid w:val="00B95BF4"/>
    <w:rsid w:val="00B962C7"/>
    <w:rsid w:val="00B96404"/>
    <w:rsid w:val="00B9659A"/>
    <w:rsid w:val="00B96A16"/>
    <w:rsid w:val="00B9759F"/>
    <w:rsid w:val="00B9792E"/>
    <w:rsid w:val="00BA1349"/>
    <w:rsid w:val="00BA1CF8"/>
    <w:rsid w:val="00BA27AD"/>
    <w:rsid w:val="00BA2A64"/>
    <w:rsid w:val="00BA2D9F"/>
    <w:rsid w:val="00BA3DEF"/>
    <w:rsid w:val="00BA3FD7"/>
    <w:rsid w:val="00BA499C"/>
    <w:rsid w:val="00BA536D"/>
    <w:rsid w:val="00BA55C9"/>
    <w:rsid w:val="00BA5A6A"/>
    <w:rsid w:val="00BA784C"/>
    <w:rsid w:val="00BB014D"/>
    <w:rsid w:val="00BB0BA4"/>
    <w:rsid w:val="00BB1830"/>
    <w:rsid w:val="00BB1D58"/>
    <w:rsid w:val="00BB220F"/>
    <w:rsid w:val="00BB3118"/>
    <w:rsid w:val="00BB428F"/>
    <w:rsid w:val="00BB4A09"/>
    <w:rsid w:val="00BB4FC5"/>
    <w:rsid w:val="00BB532A"/>
    <w:rsid w:val="00BB55AE"/>
    <w:rsid w:val="00BB58EE"/>
    <w:rsid w:val="00BB5B51"/>
    <w:rsid w:val="00BB68D7"/>
    <w:rsid w:val="00BB69C0"/>
    <w:rsid w:val="00BB7109"/>
    <w:rsid w:val="00BB7E13"/>
    <w:rsid w:val="00BC01CC"/>
    <w:rsid w:val="00BC03EA"/>
    <w:rsid w:val="00BC06E2"/>
    <w:rsid w:val="00BC0E8A"/>
    <w:rsid w:val="00BC0FDA"/>
    <w:rsid w:val="00BC12F6"/>
    <w:rsid w:val="00BC1A1F"/>
    <w:rsid w:val="00BC1C92"/>
    <w:rsid w:val="00BC207A"/>
    <w:rsid w:val="00BC23A2"/>
    <w:rsid w:val="00BC3117"/>
    <w:rsid w:val="00BC3C3D"/>
    <w:rsid w:val="00BC43EA"/>
    <w:rsid w:val="00BC4CC0"/>
    <w:rsid w:val="00BC509C"/>
    <w:rsid w:val="00BC51EA"/>
    <w:rsid w:val="00BC5F46"/>
    <w:rsid w:val="00BC60F6"/>
    <w:rsid w:val="00BC61E8"/>
    <w:rsid w:val="00BC62F1"/>
    <w:rsid w:val="00BC6369"/>
    <w:rsid w:val="00BC65BB"/>
    <w:rsid w:val="00BC6F2C"/>
    <w:rsid w:val="00BD01E6"/>
    <w:rsid w:val="00BD1D2A"/>
    <w:rsid w:val="00BD2223"/>
    <w:rsid w:val="00BD25D3"/>
    <w:rsid w:val="00BD2656"/>
    <w:rsid w:val="00BD2C13"/>
    <w:rsid w:val="00BD313F"/>
    <w:rsid w:val="00BD33C3"/>
    <w:rsid w:val="00BD3615"/>
    <w:rsid w:val="00BD4AFC"/>
    <w:rsid w:val="00BD53DE"/>
    <w:rsid w:val="00BD5BEE"/>
    <w:rsid w:val="00BD6702"/>
    <w:rsid w:val="00BD7E7A"/>
    <w:rsid w:val="00BE0B80"/>
    <w:rsid w:val="00BE0C22"/>
    <w:rsid w:val="00BE0DD5"/>
    <w:rsid w:val="00BE112E"/>
    <w:rsid w:val="00BE2565"/>
    <w:rsid w:val="00BE2979"/>
    <w:rsid w:val="00BE2FF1"/>
    <w:rsid w:val="00BE3417"/>
    <w:rsid w:val="00BE36BB"/>
    <w:rsid w:val="00BE37D6"/>
    <w:rsid w:val="00BE3967"/>
    <w:rsid w:val="00BE399F"/>
    <w:rsid w:val="00BE3ED4"/>
    <w:rsid w:val="00BE4053"/>
    <w:rsid w:val="00BE45B4"/>
    <w:rsid w:val="00BE4EF1"/>
    <w:rsid w:val="00BE5DDA"/>
    <w:rsid w:val="00BE623D"/>
    <w:rsid w:val="00BE63C8"/>
    <w:rsid w:val="00BE66FC"/>
    <w:rsid w:val="00BE672E"/>
    <w:rsid w:val="00BE6AA0"/>
    <w:rsid w:val="00BE7139"/>
    <w:rsid w:val="00BE7826"/>
    <w:rsid w:val="00BF0581"/>
    <w:rsid w:val="00BF0D44"/>
    <w:rsid w:val="00BF100F"/>
    <w:rsid w:val="00BF19DA"/>
    <w:rsid w:val="00BF2271"/>
    <w:rsid w:val="00BF39FE"/>
    <w:rsid w:val="00BF3DF7"/>
    <w:rsid w:val="00BF4C07"/>
    <w:rsid w:val="00BF56F8"/>
    <w:rsid w:val="00BF59BE"/>
    <w:rsid w:val="00BF5C7B"/>
    <w:rsid w:val="00BF6097"/>
    <w:rsid w:val="00BF6F26"/>
    <w:rsid w:val="00BF7233"/>
    <w:rsid w:val="00BF794C"/>
    <w:rsid w:val="00BF79D5"/>
    <w:rsid w:val="00C008A5"/>
    <w:rsid w:val="00C00EE7"/>
    <w:rsid w:val="00C01C3F"/>
    <w:rsid w:val="00C01DE8"/>
    <w:rsid w:val="00C02620"/>
    <w:rsid w:val="00C02977"/>
    <w:rsid w:val="00C02F22"/>
    <w:rsid w:val="00C0330A"/>
    <w:rsid w:val="00C03849"/>
    <w:rsid w:val="00C041C0"/>
    <w:rsid w:val="00C05048"/>
    <w:rsid w:val="00C0528C"/>
    <w:rsid w:val="00C06D4B"/>
    <w:rsid w:val="00C07D8A"/>
    <w:rsid w:val="00C11D0C"/>
    <w:rsid w:val="00C12F2F"/>
    <w:rsid w:val="00C1461C"/>
    <w:rsid w:val="00C14901"/>
    <w:rsid w:val="00C16FA2"/>
    <w:rsid w:val="00C17281"/>
    <w:rsid w:val="00C208F9"/>
    <w:rsid w:val="00C20B7F"/>
    <w:rsid w:val="00C21142"/>
    <w:rsid w:val="00C2226D"/>
    <w:rsid w:val="00C23328"/>
    <w:rsid w:val="00C23C07"/>
    <w:rsid w:val="00C23CC1"/>
    <w:rsid w:val="00C23D8A"/>
    <w:rsid w:val="00C23E80"/>
    <w:rsid w:val="00C2463D"/>
    <w:rsid w:val="00C24B26"/>
    <w:rsid w:val="00C251FE"/>
    <w:rsid w:val="00C25D34"/>
    <w:rsid w:val="00C2615D"/>
    <w:rsid w:val="00C26953"/>
    <w:rsid w:val="00C26DAF"/>
    <w:rsid w:val="00C2755A"/>
    <w:rsid w:val="00C27659"/>
    <w:rsid w:val="00C278BE"/>
    <w:rsid w:val="00C302A8"/>
    <w:rsid w:val="00C3055B"/>
    <w:rsid w:val="00C30D32"/>
    <w:rsid w:val="00C3113D"/>
    <w:rsid w:val="00C3149C"/>
    <w:rsid w:val="00C315B1"/>
    <w:rsid w:val="00C31822"/>
    <w:rsid w:val="00C3210C"/>
    <w:rsid w:val="00C32309"/>
    <w:rsid w:val="00C32A89"/>
    <w:rsid w:val="00C3302E"/>
    <w:rsid w:val="00C335A4"/>
    <w:rsid w:val="00C33A03"/>
    <w:rsid w:val="00C33B59"/>
    <w:rsid w:val="00C33EC6"/>
    <w:rsid w:val="00C35288"/>
    <w:rsid w:val="00C37D19"/>
    <w:rsid w:val="00C40DA5"/>
    <w:rsid w:val="00C40E1A"/>
    <w:rsid w:val="00C4109D"/>
    <w:rsid w:val="00C41185"/>
    <w:rsid w:val="00C4500C"/>
    <w:rsid w:val="00C464A7"/>
    <w:rsid w:val="00C469AA"/>
    <w:rsid w:val="00C469CD"/>
    <w:rsid w:val="00C475AC"/>
    <w:rsid w:val="00C475CF"/>
    <w:rsid w:val="00C5245A"/>
    <w:rsid w:val="00C52EFF"/>
    <w:rsid w:val="00C53170"/>
    <w:rsid w:val="00C536AF"/>
    <w:rsid w:val="00C54135"/>
    <w:rsid w:val="00C54290"/>
    <w:rsid w:val="00C54739"/>
    <w:rsid w:val="00C54C6E"/>
    <w:rsid w:val="00C55250"/>
    <w:rsid w:val="00C55519"/>
    <w:rsid w:val="00C55584"/>
    <w:rsid w:val="00C56048"/>
    <w:rsid w:val="00C5649F"/>
    <w:rsid w:val="00C5656C"/>
    <w:rsid w:val="00C578FA"/>
    <w:rsid w:val="00C60135"/>
    <w:rsid w:val="00C6021F"/>
    <w:rsid w:val="00C613C2"/>
    <w:rsid w:val="00C61777"/>
    <w:rsid w:val="00C6257B"/>
    <w:rsid w:val="00C62B28"/>
    <w:rsid w:val="00C62CE9"/>
    <w:rsid w:val="00C62F0B"/>
    <w:rsid w:val="00C62FE6"/>
    <w:rsid w:val="00C63151"/>
    <w:rsid w:val="00C6367E"/>
    <w:rsid w:val="00C63C78"/>
    <w:rsid w:val="00C63CB0"/>
    <w:rsid w:val="00C644DF"/>
    <w:rsid w:val="00C64CDC"/>
    <w:rsid w:val="00C65169"/>
    <w:rsid w:val="00C6536F"/>
    <w:rsid w:val="00C659FC"/>
    <w:rsid w:val="00C66146"/>
    <w:rsid w:val="00C66D00"/>
    <w:rsid w:val="00C67517"/>
    <w:rsid w:val="00C67851"/>
    <w:rsid w:val="00C67A13"/>
    <w:rsid w:val="00C67AF0"/>
    <w:rsid w:val="00C67B05"/>
    <w:rsid w:val="00C704F9"/>
    <w:rsid w:val="00C71E43"/>
    <w:rsid w:val="00C72881"/>
    <w:rsid w:val="00C72A43"/>
    <w:rsid w:val="00C73AB3"/>
    <w:rsid w:val="00C745BD"/>
    <w:rsid w:val="00C75191"/>
    <w:rsid w:val="00C75910"/>
    <w:rsid w:val="00C7696B"/>
    <w:rsid w:val="00C769E1"/>
    <w:rsid w:val="00C76B08"/>
    <w:rsid w:val="00C7722E"/>
    <w:rsid w:val="00C772D5"/>
    <w:rsid w:val="00C77BDC"/>
    <w:rsid w:val="00C77DF9"/>
    <w:rsid w:val="00C807E3"/>
    <w:rsid w:val="00C80904"/>
    <w:rsid w:val="00C81255"/>
    <w:rsid w:val="00C814BA"/>
    <w:rsid w:val="00C81682"/>
    <w:rsid w:val="00C849DC"/>
    <w:rsid w:val="00C84BEE"/>
    <w:rsid w:val="00C85093"/>
    <w:rsid w:val="00C85B56"/>
    <w:rsid w:val="00C8671A"/>
    <w:rsid w:val="00C867C3"/>
    <w:rsid w:val="00C903D2"/>
    <w:rsid w:val="00C90E06"/>
    <w:rsid w:val="00C93976"/>
    <w:rsid w:val="00C93B6F"/>
    <w:rsid w:val="00C9463D"/>
    <w:rsid w:val="00C94A69"/>
    <w:rsid w:val="00C9576D"/>
    <w:rsid w:val="00C957B6"/>
    <w:rsid w:val="00C959E3"/>
    <w:rsid w:val="00C961C3"/>
    <w:rsid w:val="00C96FD0"/>
    <w:rsid w:val="00C97E22"/>
    <w:rsid w:val="00CA0823"/>
    <w:rsid w:val="00CA1E3C"/>
    <w:rsid w:val="00CA2323"/>
    <w:rsid w:val="00CA2D81"/>
    <w:rsid w:val="00CA31AF"/>
    <w:rsid w:val="00CA4286"/>
    <w:rsid w:val="00CA467A"/>
    <w:rsid w:val="00CA46D9"/>
    <w:rsid w:val="00CA473C"/>
    <w:rsid w:val="00CA4F36"/>
    <w:rsid w:val="00CA5B1F"/>
    <w:rsid w:val="00CA5C85"/>
    <w:rsid w:val="00CA6433"/>
    <w:rsid w:val="00CA6842"/>
    <w:rsid w:val="00CA6F49"/>
    <w:rsid w:val="00CA752A"/>
    <w:rsid w:val="00CB003D"/>
    <w:rsid w:val="00CB039D"/>
    <w:rsid w:val="00CB066D"/>
    <w:rsid w:val="00CB0E79"/>
    <w:rsid w:val="00CB110F"/>
    <w:rsid w:val="00CB1196"/>
    <w:rsid w:val="00CB2335"/>
    <w:rsid w:val="00CB26E0"/>
    <w:rsid w:val="00CB28D1"/>
    <w:rsid w:val="00CB2C90"/>
    <w:rsid w:val="00CB3619"/>
    <w:rsid w:val="00CB3788"/>
    <w:rsid w:val="00CB4902"/>
    <w:rsid w:val="00CB566F"/>
    <w:rsid w:val="00CB58B3"/>
    <w:rsid w:val="00CB65B0"/>
    <w:rsid w:val="00CB67F0"/>
    <w:rsid w:val="00CB68B5"/>
    <w:rsid w:val="00CB6B10"/>
    <w:rsid w:val="00CB6C69"/>
    <w:rsid w:val="00CB6C72"/>
    <w:rsid w:val="00CB7082"/>
    <w:rsid w:val="00CB7201"/>
    <w:rsid w:val="00CB7E8B"/>
    <w:rsid w:val="00CC0244"/>
    <w:rsid w:val="00CC25F6"/>
    <w:rsid w:val="00CC26CB"/>
    <w:rsid w:val="00CC2F7B"/>
    <w:rsid w:val="00CC385C"/>
    <w:rsid w:val="00CC3984"/>
    <w:rsid w:val="00CC3B64"/>
    <w:rsid w:val="00CC44EE"/>
    <w:rsid w:val="00CC479D"/>
    <w:rsid w:val="00CC4990"/>
    <w:rsid w:val="00CC5325"/>
    <w:rsid w:val="00CC54FD"/>
    <w:rsid w:val="00CC5A1D"/>
    <w:rsid w:val="00CC5AC5"/>
    <w:rsid w:val="00CC60E8"/>
    <w:rsid w:val="00CC627D"/>
    <w:rsid w:val="00CC6BFC"/>
    <w:rsid w:val="00CC6CF9"/>
    <w:rsid w:val="00CC72C5"/>
    <w:rsid w:val="00CC78C4"/>
    <w:rsid w:val="00CD07C8"/>
    <w:rsid w:val="00CD1183"/>
    <w:rsid w:val="00CD13E8"/>
    <w:rsid w:val="00CD2906"/>
    <w:rsid w:val="00CD2E8F"/>
    <w:rsid w:val="00CD2F50"/>
    <w:rsid w:val="00CD4432"/>
    <w:rsid w:val="00CD525D"/>
    <w:rsid w:val="00CD6078"/>
    <w:rsid w:val="00CD60BC"/>
    <w:rsid w:val="00CD761E"/>
    <w:rsid w:val="00CD7702"/>
    <w:rsid w:val="00CD77FE"/>
    <w:rsid w:val="00CE0202"/>
    <w:rsid w:val="00CE152B"/>
    <w:rsid w:val="00CE3356"/>
    <w:rsid w:val="00CE4383"/>
    <w:rsid w:val="00CE47B6"/>
    <w:rsid w:val="00CE529C"/>
    <w:rsid w:val="00CE5D57"/>
    <w:rsid w:val="00CE7357"/>
    <w:rsid w:val="00CE7CF8"/>
    <w:rsid w:val="00CE7EF7"/>
    <w:rsid w:val="00CF0A65"/>
    <w:rsid w:val="00CF10F4"/>
    <w:rsid w:val="00CF15DF"/>
    <w:rsid w:val="00CF2EFB"/>
    <w:rsid w:val="00CF3ACE"/>
    <w:rsid w:val="00CF3C1F"/>
    <w:rsid w:val="00CF42C0"/>
    <w:rsid w:val="00CF4DD3"/>
    <w:rsid w:val="00CF50E5"/>
    <w:rsid w:val="00CF5178"/>
    <w:rsid w:val="00CF565F"/>
    <w:rsid w:val="00CF5F28"/>
    <w:rsid w:val="00CF6927"/>
    <w:rsid w:val="00CF7683"/>
    <w:rsid w:val="00D0027D"/>
    <w:rsid w:val="00D01BAD"/>
    <w:rsid w:val="00D03DB3"/>
    <w:rsid w:val="00D045AB"/>
    <w:rsid w:val="00D045D2"/>
    <w:rsid w:val="00D050CA"/>
    <w:rsid w:val="00D05DA4"/>
    <w:rsid w:val="00D05E78"/>
    <w:rsid w:val="00D06539"/>
    <w:rsid w:val="00D102D4"/>
    <w:rsid w:val="00D1130C"/>
    <w:rsid w:val="00D11C1D"/>
    <w:rsid w:val="00D12384"/>
    <w:rsid w:val="00D12953"/>
    <w:rsid w:val="00D12F04"/>
    <w:rsid w:val="00D13355"/>
    <w:rsid w:val="00D1351E"/>
    <w:rsid w:val="00D13EBE"/>
    <w:rsid w:val="00D149C8"/>
    <w:rsid w:val="00D14AE5"/>
    <w:rsid w:val="00D1509D"/>
    <w:rsid w:val="00D153C1"/>
    <w:rsid w:val="00D16100"/>
    <w:rsid w:val="00D1657F"/>
    <w:rsid w:val="00D174AD"/>
    <w:rsid w:val="00D17CB4"/>
    <w:rsid w:val="00D17E6D"/>
    <w:rsid w:val="00D202CE"/>
    <w:rsid w:val="00D203E9"/>
    <w:rsid w:val="00D20A1A"/>
    <w:rsid w:val="00D20FE9"/>
    <w:rsid w:val="00D21663"/>
    <w:rsid w:val="00D21876"/>
    <w:rsid w:val="00D221B8"/>
    <w:rsid w:val="00D22742"/>
    <w:rsid w:val="00D22797"/>
    <w:rsid w:val="00D22E60"/>
    <w:rsid w:val="00D235C6"/>
    <w:rsid w:val="00D23FAD"/>
    <w:rsid w:val="00D24163"/>
    <w:rsid w:val="00D24BDB"/>
    <w:rsid w:val="00D25529"/>
    <w:rsid w:val="00D25618"/>
    <w:rsid w:val="00D257BB"/>
    <w:rsid w:val="00D25B6D"/>
    <w:rsid w:val="00D25CB9"/>
    <w:rsid w:val="00D25F72"/>
    <w:rsid w:val="00D270CB"/>
    <w:rsid w:val="00D27240"/>
    <w:rsid w:val="00D2732B"/>
    <w:rsid w:val="00D27741"/>
    <w:rsid w:val="00D27D30"/>
    <w:rsid w:val="00D305EC"/>
    <w:rsid w:val="00D30D81"/>
    <w:rsid w:val="00D30FDA"/>
    <w:rsid w:val="00D31178"/>
    <w:rsid w:val="00D32A90"/>
    <w:rsid w:val="00D334FE"/>
    <w:rsid w:val="00D3360B"/>
    <w:rsid w:val="00D339CF"/>
    <w:rsid w:val="00D34248"/>
    <w:rsid w:val="00D3479D"/>
    <w:rsid w:val="00D34886"/>
    <w:rsid w:val="00D34B16"/>
    <w:rsid w:val="00D35495"/>
    <w:rsid w:val="00D358A0"/>
    <w:rsid w:val="00D35B85"/>
    <w:rsid w:val="00D3743B"/>
    <w:rsid w:val="00D408EA"/>
    <w:rsid w:val="00D410AA"/>
    <w:rsid w:val="00D41476"/>
    <w:rsid w:val="00D421F0"/>
    <w:rsid w:val="00D42DEC"/>
    <w:rsid w:val="00D430BE"/>
    <w:rsid w:val="00D44417"/>
    <w:rsid w:val="00D44613"/>
    <w:rsid w:val="00D4637C"/>
    <w:rsid w:val="00D4671F"/>
    <w:rsid w:val="00D468AC"/>
    <w:rsid w:val="00D506A7"/>
    <w:rsid w:val="00D50F26"/>
    <w:rsid w:val="00D52542"/>
    <w:rsid w:val="00D52910"/>
    <w:rsid w:val="00D5329B"/>
    <w:rsid w:val="00D539C8"/>
    <w:rsid w:val="00D53E60"/>
    <w:rsid w:val="00D5485E"/>
    <w:rsid w:val="00D54919"/>
    <w:rsid w:val="00D54B25"/>
    <w:rsid w:val="00D552FC"/>
    <w:rsid w:val="00D56032"/>
    <w:rsid w:val="00D562AD"/>
    <w:rsid w:val="00D56DE3"/>
    <w:rsid w:val="00D570BC"/>
    <w:rsid w:val="00D573EA"/>
    <w:rsid w:val="00D577C3"/>
    <w:rsid w:val="00D579A6"/>
    <w:rsid w:val="00D60D2B"/>
    <w:rsid w:val="00D61300"/>
    <w:rsid w:val="00D61A22"/>
    <w:rsid w:val="00D61D9E"/>
    <w:rsid w:val="00D6300D"/>
    <w:rsid w:val="00D631D2"/>
    <w:rsid w:val="00D637D9"/>
    <w:rsid w:val="00D63B65"/>
    <w:rsid w:val="00D63CE0"/>
    <w:rsid w:val="00D64DCF"/>
    <w:rsid w:val="00D658F2"/>
    <w:rsid w:val="00D65906"/>
    <w:rsid w:val="00D660F3"/>
    <w:rsid w:val="00D6649A"/>
    <w:rsid w:val="00D66DC1"/>
    <w:rsid w:val="00D66EF0"/>
    <w:rsid w:val="00D66F25"/>
    <w:rsid w:val="00D66FC5"/>
    <w:rsid w:val="00D6741D"/>
    <w:rsid w:val="00D677C4"/>
    <w:rsid w:val="00D679C2"/>
    <w:rsid w:val="00D7026D"/>
    <w:rsid w:val="00D7095B"/>
    <w:rsid w:val="00D711DB"/>
    <w:rsid w:val="00D7181A"/>
    <w:rsid w:val="00D7204C"/>
    <w:rsid w:val="00D720BD"/>
    <w:rsid w:val="00D720F1"/>
    <w:rsid w:val="00D7252F"/>
    <w:rsid w:val="00D746F9"/>
    <w:rsid w:val="00D74717"/>
    <w:rsid w:val="00D74AA1"/>
    <w:rsid w:val="00D75C7B"/>
    <w:rsid w:val="00D76544"/>
    <w:rsid w:val="00D76D70"/>
    <w:rsid w:val="00D76F19"/>
    <w:rsid w:val="00D774C7"/>
    <w:rsid w:val="00D77EFF"/>
    <w:rsid w:val="00D77FBC"/>
    <w:rsid w:val="00D807F1"/>
    <w:rsid w:val="00D8088C"/>
    <w:rsid w:val="00D8167D"/>
    <w:rsid w:val="00D81873"/>
    <w:rsid w:val="00D81B81"/>
    <w:rsid w:val="00D81CC4"/>
    <w:rsid w:val="00D82A42"/>
    <w:rsid w:val="00D82C72"/>
    <w:rsid w:val="00D82EE9"/>
    <w:rsid w:val="00D837C6"/>
    <w:rsid w:val="00D83A2E"/>
    <w:rsid w:val="00D8453D"/>
    <w:rsid w:val="00D84D5F"/>
    <w:rsid w:val="00D84EFA"/>
    <w:rsid w:val="00D8524E"/>
    <w:rsid w:val="00D854A2"/>
    <w:rsid w:val="00D85BA2"/>
    <w:rsid w:val="00D85DC3"/>
    <w:rsid w:val="00D86957"/>
    <w:rsid w:val="00D86A93"/>
    <w:rsid w:val="00D86AD5"/>
    <w:rsid w:val="00D86C5D"/>
    <w:rsid w:val="00D8704E"/>
    <w:rsid w:val="00D905A3"/>
    <w:rsid w:val="00D90A72"/>
    <w:rsid w:val="00D90D40"/>
    <w:rsid w:val="00D91111"/>
    <w:rsid w:val="00D917C7"/>
    <w:rsid w:val="00D91CA2"/>
    <w:rsid w:val="00D92719"/>
    <w:rsid w:val="00D92844"/>
    <w:rsid w:val="00D92A52"/>
    <w:rsid w:val="00D92CB8"/>
    <w:rsid w:val="00D92D7A"/>
    <w:rsid w:val="00D92E95"/>
    <w:rsid w:val="00D932AD"/>
    <w:rsid w:val="00D94248"/>
    <w:rsid w:val="00D95300"/>
    <w:rsid w:val="00D95C9B"/>
    <w:rsid w:val="00D95D9F"/>
    <w:rsid w:val="00D962ED"/>
    <w:rsid w:val="00D96631"/>
    <w:rsid w:val="00D96B28"/>
    <w:rsid w:val="00D96D87"/>
    <w:rsid w:val="00D96E3A"/>
    <w:rsid w:val="00DA00FE"/>
    <w:rsid w:val="00DA0B6C"/>
    <w:rsid w:val="00DA0D97"/>
    <w:rsid w:val="00DA0E7F"/>
    <w:rsid w:val="00DA10B6"/>
    <w:rsid w:val="00DA12F4"/>
    <w:rsid w:val="00DA23FC"/>
    <w:rsid w:val="00DA249E"/>
    <w:rsid w:val="00DA2AFF"/>
    <w:rsid w:val="00DA2B04"/>
    <w:rsid w:val="00DA2F07"/>
    <w:rsid w:val="00DA3146"/>
    <w:rsid w:val="00DA3752"/>
    <w:rsid w:val="00DA47C4"/>
    <w:rsid w:val="00DA5843"/>
    <w:rsid w:val="00DA5DB6"/>
    <w:rsid w:val="00DA5DC0"/>
    <w:rsid w:val="00DA62C1"/>
    <w:rsid w:val="00DA6721"/>
    <w:rsid w:val="00DA7691"/>
    <w:rsid w:val="00DB0054"/>
    <w:rsid w:val="00DB1681"/>
    <w:rsid w:val="00DB1D0E"/>
    <w:rsid w:val="00DB1F2C"/>
    <w:rsid w:val="00DB2595"/>
    <w:rsid w:val="00DB51BE"/>
    <w:rsid w:val="00DB62F7"/>
    <w:rsid w:val="00DB64F7"/>
    <w:rsid w:val="00DB65C0"/>
    <w:rsid w:val="00DB6DCD"/>
    <w:rsid w:val="00DB74B1"/>
    <w:rsid w:val="00DB7C5C"/>
    <w:rsid w:val="00DC031E"/>
    <w:rsid w:val="00DC1023"/>
    <w:rsid w:val="00DC12E1"/>
    <w:rsid w:val="00DC144A"/>
    <w:rsid w:val="00DC181C"/>
    <w:rsid w:val="00DC2440"/>
    <w:rsid w:val="00DC2A42"/>
    <w:rsid w:val="00DC2E0A"/>
    <w:rsid w:val="00DC30F3"/>
    <w:rsid w:val="00DC40C3"/>
    <w:rsid w:val="00DC418B"/>
    <w:rsid w:val="00DC4278"/>
    <w:rsid w:val="00DC4906"/>
    <w:rsid w:val="00DC4A83"/>
    <w:rsid w:val="00DC69F1"/>
    <w:rsid w:val="00DC6C22"/>
    <w:rsid w:val="00DC73BC"/>
    <w:rsid w:val="00DD0352"/>
    <w:rsid w:val="00DD091A"/>
    <w:rsid w:val="00DD0B25"/>
    <w:rsid w:val="00DD1A8D"/>
    <w:rsid w:val="00DD1F39"/>
    <w:rsid w:val="00DD21BD"/>
    <w:rsid w:val="00DD2D6E"/>
    <w:rsid w:val="00DD321E"/>
    <w:rsid w:val="00DD33A0"/>
    <w:rsid w:val="00DD3988"/>
    <w:rsid w:val="00DD3AC2"/>
    <w:rsid w:val="00DD3C69"/>
    <w:rsid w:val="00DD3EDE"/>
    <w:rsid w:val="00DD581C"/>
    <w:rsid w:val="00DD5C09"/>
    <w:rsid w:val="00DD75D1"/>
    <w:rsid w:val="00DD7653"/>
    <w:rsid w:val="00DD790D"/>
    <w:rsid w:val="00DE0A40"/>
    <w:rsid w:val="00DE10C4"/>
    <w:rsid w:val="00DE1653"/>
    <w:rsid w:val="00DE2564"/>
    <w:rsid w:val="00DE2D8D"/>
    <w:rsid w:val="00DE34DB"/>
    <w:rsid w:val="00DE371F"/>
    <w:rsid w:val="00DE38CD"/>
    <w:rsid w:val="00DE3949"/>
    <w:rsid w:val="00DE53B1"/>
    <w:rsid w:val="00DE5405"/>
    <w:rsid w:val="00DE590A"/>
    <w:rsid w:val="00DE6364"/>
    <w:rsid w:val="00DE6929"/>
    <w:rsid w:val="00DE6EDD"/>
    <w:rsid w:val="00DE7C34"/>
    <w:rsid w:val="00DE7D7D"/>
    <w:rsid w:val="00DF02B1"/>
    <w:rsid w:val="00DF06B7"/>
    <w:rsid w:val="00DF0E04"/>
    <w:rsid w:val="00DF1166"/>
    <w:rsid w:val="00DF1826"/>
    <w:rsid w:val="00DF210C"/>
    <w:rsid w:val="00DF23C2"/>
    <w:rsid w:val="00DF2E27"/>
    <w:rsid w:val="00DF3D03"/>
    <w:rsid w:val="00DF4EB5"/>
    <w:rsid w:val="00DF53AF"/>
    <w:rsid w:val="00DF5957"/>
    <w:rsid w:val="00DF5C32"/>
    <w:rsid w:val="00DF655F"/>
    <w:rsid w:val="00DF759D"/>
    <w:rsid w:val="00DF7BAE"/>
    <w:rsid w:val="00E00D7D"/>
    <w:rsid w:val="00E01802"/>
    <w:rsid w:val="00E04357"/>
    <w:rsid w:val="00E04835"/>
    <w:rsid w:val="00E04F3F"/>
    <w:rsid w:val="00E0546F"/>
    <w:rsid w:val="00E05BA4"/>
    <w:rsid w:val="00E05EE8"/>
    <w:rsid w:val="00E0647B"/>
    <w:rsid w:val="00E06CC5"/>
    <w:rsid w:val="00E06DA8"/>
    <w:rsid w:val="00E079C3"/>
    <w:rsid w:val="00E07EB2"/>
    <w:rsid w:val="00E10BC8"/>
    <w:rsid w:val="00E10CDB"/>
    <w:rsid w:val="00E112A5"/>
    <w:rsid w:val="00E1170A"/>
    <w:rsid w:val="00E12D3B"/>
    <w:rsid w:val="00E136F2"/>
    <w:rsid w:val="00E13BD4"/>
    <w:rsid w:val="00E13EE0"/>
    <w:rsid w:val="00E15A28"/>
    <w:rsid w:val="00E15A39"/>
    <w:rsid w:val="00E15DAA"/>
    <w:rsid w:val="00E17FC4"/>
    <w:rsid w:val="00E21A3F"/>
    <w:rsid w:val="00E221DC"/>
    <w:rsid w:val="00E222A4"/>
    <w:rsid w:val="00E22C20"/>
    <w:rsid w:val="00E23D5B"/>
    <w:rsid w:val="00E23E08"/>
    <w:rsid w:val="00E23EBF"/>
    <w:rsid w:val="00E24459"/>
    <w:rsid w:val="00E246D4"/>
    <w:rsid w:val="00E25F5E"/>
    <w:rsid w:val="00E2648E"/>
    <w:rsid w:val="00E26F87"/>
    <w:rsid w:val="00E3015C"/>
    <w:rsid w:val="00E3066D"/>
    <w:rsid w:val="00E31279"/>
    <w:rsid w:val="00E3127B"/>
    <w:rsid w:val="00E329F3"/>
    <w:rsid w:val="00E32B75"/>
    <w:rsid w:val="00E32BD1"/>
    <w:rsid w:val="00E33154"/>
    <w:rsid w:val="00E33791"/>
    <w:rsid w:val="00E33BEE"/>
    <w:rsid w:val="00E33EF5"/>
    <w:rsid w:val="00E342CD"/>
    <w:rsid w:val="00E34719"/>
    <w:rsid w:val="00E34AC2"/>
    <w:rsid w:val="00E361B1"/>
    <w:rsid w:val="00E3672F"/>
    <w:rsid w:val="00E372AE"/>
    <w:rsid w:val="00E372F7"/>
    <w:rsid w:val="00E37331"/>
    <w:rsid w:val="00E37A6A"/>
    <w:rsid w:val="00E37F8B"/>
    <w:rsid w:val="00E40217"/>
    <w:rsid w:val="00E40A2D"/>
    <w:rsid w:val="00E42A53"/>
    <w:rsid w:val="00E42AE6"/>
    <w:rsid w:val="00E43872"/>
    <w:rsid w:val="00E443D6"/>
    <w:rsid w:val="00E44A84"/>
    <w:rsid w:val="00E44AE9"/>
    <w:rsid w:val="00E451F3"/>
    <w:rsid w:val="00E45284"/>
    <w:rsid w:val="00E46538"/>
    <w:rsid w:val="00E46CFF"/>
    <w:rsid w:val="00E473F1"/>
    <w:rsid w:val="00E50005"/>
    <w:rsid w:val="00E5009F"/>
    <w:rsid w:val="00E50972"/>
    <w:rsid w:val="00E51F14"/>
    <w:rsid w:val="00E52193"/>
    <w:rsid w:val="00E528E8"/>
    <w:rsid w:val="00E5334D"/>
    <w:rsid w:val="00E54940"/>
    <w:rsid w:val="00E54D53"/>
    <w:rsid w:val="00E554E8"/>
    <w:rsid w:val="00E55ADE"/>
    <w:rsid w:val="00E57523"/>
    <w:rsid w:val="00E61662"/>
    <w:rsid w:val="00E61894"/>
    <w:rsid w:val="00E62214"/>
    <w:rsid w:val="00E62399"/>
    <w:rsid w:val="00E6245C"/>
    <w:rsid w:val="00E62AFD"/>
    <w:rsid w:val="00E62C0D"/>
    <w:rsid w:val="00E62C34"/>
    <w:rsid w:val="00E62D90"/>
    <w:rsid w:val="00E63140"/>
    <w:rsid w:val="00E633DC"/>
    <w:rsid w:val="00E64760"/>
    <w:rsid w:val="00E64BA0"/>
    <w:rsid w:val="00E64F69"/>
    <w:rsid w:val="00E650C1"/>
    <w:rsid w:val="00E655E2"/>
    <w:rsid w:val="00E65CD8"/>
    <w:rsid w:val="00E66603"/>
    <w:rsid w:val="00E66953"/>
    <w:rsid w:val="00E67776"/>
    <w:rsid w:val="00E70CC9"/>
    <w:rsid w:val="00E711EA"/>
    <w:rsid w:val="00E714C0"/>
    <w:rsid w:val="00E715D0"/>
    <w:rsid w:val="00E71742"/>
    <w:rsid w:val="00E735A9"/>
    <w:rsid w:val="00E735FE"/>
    <w:rsid w:val="00E73ACF"/>
    <w:rsid w:val="00E74835"/>
    <w:rsid w:val="00E74ECC"/>
    <w:rsid w:val="00E75D78"/>
    <w:rsid w:val="00E7627E"/>
    <w:rsid w:val="00E76289"/>
    <w:rsid w:val="00E762DC"/>
    <w:rsid w:val="00E762F3"/>
    <w:rsid w:val="00E769D3"/>
    <w:rsid w:val="00E776F0"/>
    <w:rsid w:val="00E800C6"/>
    <w:rsid w:val="00E801AC"/>
    <w:rsid w:val="00E80640"/>
    <w:rsid w:val="00E809A4"/>
    <w:rsid w:val="00E8157E"/>
    <w:rsid w:val="00E815FC"/>
    <w:rsid w:val="00E81736"/>
    <w:rsid w:val="00E81ED7"/>
    <w:rsid w:val="00E821F2"/>
    <w:rsid w:val="00E82586"/>
    <w:rsid w:val="00E826C4"/>
    <w:rsid w:val="00E82F1F"/>
    <w:rsid w:val="00E831F7"/>
    <w:rsid w:val="00E83A20"/>
    <w:rsid w:val="00E84C24"/>
    <w:rsid w:val="00E84D69"/>
    <w:rsid w:val="00E850C3"/>
    <w:rsid w:val="00E8532C"/>
    <w:rsid w:val="00E856C5"/>
    <w:rsid w:val="00E85C7C"/>
    <w:rsid w:val="00E85E15"/>
    <w:rsid w:val="00E86488"/>
    <w:rsid w:val="00E8654E"/>
    <w:rsid w:val="00E87F19"/>
    <w:rsid w:val="00E90228"/>
    <w:rsid w:val="00E907F4"/>
    <w:rsid w:val="00E90D5A"/>
    <w:rsid w:val="00E9145C"/>
    <w:rsid w:val="00E93046"/>
    <w:rsid w:val="00E94A30"/>
    <w:rsid w:val="00E95762"/>
    <w:rsid w:val="00E95BB8"/>
    <w:rsid w:val="00E95D87"/>
    <w:rsid w:val="00E95F4E"/>
    <w:rsid w:val="00E96136"/>
    <w:rsid w:val="00E96556"/>
    <w:rsid w:val="00E96593"/>
    <w:rsid w:val="00E96E5D"/>
    <w:rsid w:val="00E97623"/>
    <w:rsid w:val="00E9798A"/>
    <w:rsid w:val="00E979F7"/>
    <w:rsid w:val="00EA0741"/>
    <w:rsid w:val="00EA1477"/>
    <w:rsid w:val="00EA1A4C"/>
    <w:rsid w:val="00EA1D58"/>
    <w:rsid w:val="00EA2D9E"/>
    <w:rsid w:val="00EA3000"/>
    <w:rsid w:val="00EA3725"/>
    <w:rsid w:val="00EA3936"/>
    <w:rsid w:val="00EA513F"/>
    <w:rsid w:val="00EA518F"/>
    <w:rsid w:val="00EA5961"/>
    <w:rsid w:val="00EA5CD1"/>
    <w:rsid w:val="00EA5E2A"/>
    <w:rsid w:val="00EA6D84"/>
    <w:rsid w:val="00EA7710"/>
    <w:rsid w:val="00EA7D38"/>
    <w:rsid w:val="00EB0731"/>
    <w:rsid w:val="00EB0ACF"/>
    <w:rsid w:val="00EB0FEF"/>
    <w:rsid w:val="00EB1015"/>
    <w:rsid w:val="00EB14BD"/>
    <w:rsid w:val="00EB19BD"/>
    <w:rsid w:val="00EB2020"/>
    <w:rsid w:val="00EB251C"/>
    <w:rsid w:val="00EB27D5"/>
    <w:rsid w:val="00EB28E9"/>
    <w:rsid w:val="00EB29BC"/>
    <w:rsid w:val="00EB2E09"/>
    <w:rsid w:val="00EB336B"/>
    <w:rsid w:val="00EB3653"/>
    <w:rsid w:val="00EB45FA"/>
    <w:rsid w:val="00EB46EA"/>
    <w:rsid w:val="00EB578A"/>
    <w:rsid w:val="00EB58D0"/>
    <w:rsid w:val="00EB5D47"/>
    <w:rsid w:val="00EB6AFD"/>
    <w:rsid w:val="00EB6C07"/>
    <w:rsid w:val="00EB6C7D"/>
    <w:rsid w:val="00EB70E5"/>
    <w:rsid w:val="00EB726D"/>
    <w:rsid w:val="00EB7AC2"/>
    <w:rsid w:val="00EB7C8E"/>
    <w:rsid w:val="00EB7E76"/>
    <w:rsid w:val="00EC02BE"/>
    <w:rsid w:val="00EC08CE"/>
    <w:rsid w:val="00EC146E"/>
    <w:rsid w:val="00EC1B1A"/>
    <w:rsid w:val="00EC35DE"/>
    <w:rsid w:val="00EC3D63"/>
    <w:rsid w:val="00EC4F79"/>
    <w:rsid w:val="00EC53E6"/>
    <w:rsid w:val="00EC543A"/>
    <w:rsid w:val="00EC5975"/>
    <w:rsid w:val="00EC6130"/>
    <w:rsid w:val="00EC6766"/>
    <w:rsid w:val="00EC6B27"/>
    <w:rsid w:val="00EC6BF6"/>
    <w:rsid w:val="00EC6BFC"/>
    <w:rsid w:val="00EC71D8"/>
    <w:rsid w:val="00EC73B8"/>
    <w:rsid w:val="00EC7AE3"/>
    <w:rsid w:val="00EC7B79"/>
    <w:rsid w:val="00EC7D16"/>
    <w:rsid w:val="00EC7E08"/>
    <w:rsid w:val="00ED0F4E"/>
    <w:rsid w:val="00ED133D"/>
    <w:rsid w:val="00ED1476"/>
    <w:rsid w:val="00ED1FF7"/>
    <w:rsid w:val="00ED2563"/>
    <w:rsid w:val="00ED266C"/>
    <w:rsid w:val="00ED2A4C"/>
    <w:rsid w:val="00ED4371"/>
    <w:rsid w:val="00ED6DFC"/>
    <w:rsid w:val="00ED75CF"/>
    <w:rsid w:val="00ED762B"/>
    <w:rsid w:val="00ED7F11"/>
    <w:rsid w:val="00EE067C"/>
    <w:rsid w:val="00EE1275"/>
    <w:rsid w:val="00EE1D7D"/>
    <w:rsid w:val="00EE1F75"/>
    <w:rsid w:val="00EE2031"/>
    <w:rsid w:val="00EE2051"/>
    <w:rsid w:val="00EE2D3E"/>
    <w:rsid w:val="00EE31AE"/>
    <w:rsid w:val="00EE352E"/>
    <w:rsid w:val="00EE35DE"/>
    <w:rsid w:val="00EE4924"/>
    <w:rsid w:val="00EE4C0F"/>
    <w:rsid w:val="00EE4FD5"/>
    <w:rsid w:val="00EE715E"/>
    <w:rsid w:val="00EE7246"/>
    <w:rsid w:val="00EE74B3"/>
    <w:rsid w:val="00EE754A"/>
    <w:rsid w:val="00EE7A5E"/>
    <w:rsid w:val="00EF01BC"/>
    <w:rsid w:val="00EF039F"/>
    <w:rsid w:val="00EF11CE"/>
    <w:rsid w:val="00EF120E"/>
    <w:rsid w:val="00EF13FE"/>
    <w:rsid w:val="00EF2143"/>
    <w:rsid w:val="00EF256E"/>
    <w:rsid w:val="00EF3159"/>
    <w:rsid w:val="00EF384D"/>
    <w:rsid w:val="00EF38ED"/>
    <w:rsid w:val="00EF3AA7"/>
    <w:rsid w:val="00EF4569"/>
    <w:rsid w:val="00EF465A"/>
    <w:rsid w:val="00EF4849"/>
    <w:rsid w:val="00EF4B37"/>
    <w:rsid w:val="00EF4F51"/>
    <w:rsid w:val="00EF55BC"/>
    <w:rsid w:val="00EF5FD1"/>
    <w:rsid w:val="00EF6960"/>
    <w:rsid w:val="00EF74D6"/>
    <w:rsid w:val="00EF7D4C"/>
    <w:rsid w:val="00F006E8"/>
    <w:rsid w:val="00F0088A"/>
    <w:rsid w:val="00F0115D"/>
    <w:rsid w:val="00F01F29"/>
    <w:rsid w:val="00F02CD0"/>
    <w:rsid w:val="00F02E7D"/>
    <w:rsid w:val="00F0311D"/>
    <w:rsid w:val="00F03706"/>
    <w:rsid w:val="00F038B0"/>
    <w:rsid w:val="00F04544"/>
    <w:rsid w:val="00F05634"/>
    <w:rsid w:val="00F056BD"/>
    <w:rsid w:val="00F062AC"/>
    <w:rsid w:val="00F068A0"/>
    <w:rsid w:val="00F070A4"/>
    <w:rsid w:val="00F0745D"/>
    <w:rsid w:val="00F076DB"/>
    <w:rsid w:val="00F10376"/>
    <w:rsid w:val="00F10C63"/>
    <w:rsid w:val="00F112AD"/>
    <w:rsid w:val="00F1155B"/>
    <w:rsid w:val="00F115CA"/>
    <w:rsid w:val="00F121CB"/>
    <w:rsid w:val="00F12787"/>
    <w:rsid w:val="00F129DE"/>
    <w:rsid w:val="00F136A0"/>
    <w:rsid w:val="00F151A3"/>
    <w:rsid w:val="00F152AB"/>
    <w:rsid w:val="00F15BE9"/>
    <w:rsid w:val="00F15DB6"/>
    <w:rsid w:val="00F166FC"/>
    <w:rsid w:val="00F17101"/>
    <w:rsid w:val="00F175F6"/>
    <w:rsid w:val="00F177DC"/>
    <w:rsid w:val="00F17AC1"/>
    <w:rsid w:val="00F20125"/>
    <w:rsid w:val="00F2092E"/>
    <w:rsid w:val="00F20A25"/>
    <w:rsid w:val="00F20D6E"/>
    <w:rsid w:val="00F20F3B"/>
    <w:rsid w:val="00F21433"/>
    <w:rsid w:val="00F225F8"/>
    <w:rsid w:val="00F22810"/>
    <w:rsid w:val="00F23521"/>
    <w:rsid w:val="00F2359F"/>
    <w:rsid w:val="00F239DF"/>
    <w:rsid w:val="00F25573"/>
    <w:rsid w:val="00F25733"/>
    <w:rsid w:val="00F25A5B"/>
    <w:rsid w:val="00F25E05"/>
    <w:rsid w:val="00F260DE"/>
    <w:rsid w:val="00F26BA0"/>
    <w:rsid w:val="00F26F08"/>
    <w:rsid w:val="00F2710C"/>
    <w:rsid w:val="00F2727B"/>
    <w:rsid w:val="00F274F9"/>
    <w:rsid w:val="00F277D5"/>
    <w:rsid w:val="00F301B4"/>
    <w:rsid w:val="00F30A52"/>
    <w:rsid w:val="00F314CA"/>
    <w:rsid w:val="00F31F31"/>
    <w:rsid w:val="00F34F34"/>
    <w:rsid w:val="00F35350"/>
    <w:rsid w:val="00F35720"/>
    <w:rsid w:val="00F35D14"/>
    <w:rsid w:val="00F35E37"/>
    <w:rsid w:val="00F35EC8"/>
    <w:rsid w:val="00F36582"/>
    <w:rsid w:val="00F36CF6"/>
    <w:rsid w:val="00F37153"/>
    <w:rsid w:val="00F37737"/>
    <w:rsid w:val="00F37A60"/>
    <w:rsid w:val="00F37D3B"/>
    <w:rsid w:val="00F4022D"/>
    <w:rsid w:val="00F4065B"/>
    <w:rsid w:val="00F40BDA"/>
    <w:rsid w:val="00F419C8"/>
    <w:rsid w:val="00F41C30"/>
    <w:rsid w:val="00F4235A"/>
    <w:rsid w:val="00F4239F"/>
    <w:rsid w:val="00F42932"/>
    <w:rsid w:val="00F42F73"/>
    <w:rsid w:val="00F43244"/>
    <w:rsid w:val="00F4352C"/>
    <w:rsid w:val="00F435DD"/>
    <w:rsid w:val="00F43806"/>
    <w:rsid w:val="00F43C5F"/>
    <w:rsid w:val="00F43EA9"/>
    <w:rsid w:val="00F4480D"/>
    <w:rsid w:val="00F44A54"/>
    <w:rsid w:val="00F46552"/>
    <w:rsid w:val="00F46DC9"/>
    <w:rsid w:val="00F47051"/>
    <w:rsid w:val="00F47DFA"/>
    <w:rsid w:val="00F5005A"/>
    <w:rsid w:val="00F5046E"/>
    <w:rsid w:val="00F5078F"/>
    <w:rsid w:val="00F5351A"/>
    <w:rsid w:val="00F53CDA"/>
    <w:rsid w:val="00F554E3"/>
    <w:rsid w:val="00F55ECA"/>
    <w:rsid w:val="00F56757"/>
    <w:rsid w:val="00F57CB0"/>
    <w:rsid w:val="00F601D4"/>
    <w:rsid w:val="00F61083"/>
    <w:rsid w:val="00F61830"/>
    <w:rsid w:val="00F61F2B"/>
    <w:rsid w:val="00F627FE"/>
    <w:rsid w:val="00F632F0"/>
    <w:rsid w:val="00F639C0"/>
    <w:rsid w:val="00F642C9"/>
    <w:rsid w:val="00F64512"/>
    <w:rsid w:val="00F645DB"/>
    <w:rsid w:val="00F6491D"/>
    <w:rsid w:val="00F64BA5"/>
    <w:rsid w:val="00F650C6"/>
    <w:rsid w:val="00F65B0D"/>
    <w:rsid w:val="00F65DE5"/>
    <w:rsid w:val="00F65E13"/>
    <w:rsid w:val="00F6654F"/>
    <w:rsid w:val="00F669A4"/>
    <w:rsid w:val="00F670C5"/>
    <w:rsid w:val="00F671E1"/>
    <w:rsid w:val="00F672F3"/>
    <w:rsid w:val="00F67E52"/>
    <w:rsid w:val="00F7013E"/>
    <w:rsid w:val="00F70679"/>
    <w:rsid w:val="00F707B7"/>
    <w:rsid w:val="00F70DBC"/>
    <w:rsid w:val="00F717A9"/>
    <w:rsid w:val="00F717D7"/>
    <w:rsid w:val="00F71865"/>
    <w:rsid w:val="00F72744"/>
    <w:rsid w:val="00F72893"/>
    <w:rsid w:val="00F72D2F"/>
    <w:rsid w:val="00F72F75"/>
    <w:rsid w:val="00F73D79"/>
    <w:rsid w:val="00F7440E"/>
    <w:rsid w:val="00F744CB"/>
    <w:rsid w:val="00F74885"/>
    <w:rsid w:val="00F74D4A"/>
    <w:rsid w:val="00F75236"/>
    <w:rsid w:val="00F75491"/>
    <w:rsid w:val="00F75D7F"/>
    <w:rsid w:val="00F76F81"/>
    <w:rsid w:val="00F776C9"/>
    <w:rsid w:val="00F77C20"/>
    <w:rsid w:val="00F77DAA"/>
    <w:rsid w:val="00F77DDE"/>
    <w:rsid w:val="00F808C8"/>
    <w:rsid w:val="00F81447"/>
    <w:rsid w:val="00F8179A"/>
    <w:rsid w:val="00F82A4B"/>
    <w:rsid w:val="00F82F71"/>
    <w:rsid w:val="00F8319D"/>
    <w:rsid w:val="00F836DD"/>
    <w:rsid w:val="00F83BF7"/>
    <w:rsid w:val="00F8455C"/>
    <w:rsid w:val="00F852AC"/>
    <w:rsid w:val="00F8613D"/>
    <w:rsid w:val="00F86AB2"/>
    <w:rsid w:val="00F87873"/>
    <w:rsid w:val="00F8797F"/>
    <w:rsid w:val="00F9031E"/>
    <w:rsid w:val="00F90368"/>
    <w:rsid w:val="00F90801"/>
    <w:rsid w:val="00F909C3"/>
    <w:rsid w:val="00F90CEE"/>
    <w:rsid w:val="00F90FD1"/>
    <w:rsid w:val="00F91066"/>
    <w:rsid w:val="00F928A7"/>
    <w:rsid w:val="00F92EBB"/>
    <w:rsid w:val="00F93989"/>
    <w:rsid w:val="00F939D6"/>
    <w:rsid w:val="00F93FA2"/>
    <w:rsid w:val="00F94437"/>
    <w:rsid w:val="00F94832"/>
    <w:rsid w:val="00F951A8"/>
    <w:rsid w:val="00F973B8"/>
    <w:rsid w:val="00FA074C"/>
    <w:rsid w:val="00FA0C0F"/>
    <w:rsid w:val="00FA1715"/>
    <w:rsid w:val="00FA189F"/>
    <w:rsid w:val="00FA1985"/>
    <w:rsid w:val="00FA2EB3"/>
    <w:rsid w:val="00FA33EA"/>
    <w:rsid w:val="00FA36B9"/>
    <w:rsid w:val="00FA3B31"/>
    <w:rsid w:val="00FA4E6A"/>
    <w:rsid w:val="00FA6021"/>
    <w:rsid w:val="00FA6E71"/>
    <w:rsid w:val="00FA7041"/>
    <w:rsid w:val="00FA7235"/>
    <w:rsid w:val="00FB00FF"/>
    <w:rsid w:val="00FB0B1A"/>
    <w:rsid w:val="00FB16D8"/>
    <w:rsid w:val="00FB1AF5"/>
    <w:rsid w:val="00FB1B7B"/>
    <w:rsid w:val="00FB1F32"/>
    <w:rsid w:val="00FB38C1"/>
    <w:rsid w:val="00FB43E2"/>
    <w:rsid w:val="00FB4749"/>
    <w:rsid w:val="00FB496B"/>
    <w:rsid w:val="00FB4EEC"/>
    <w:rsid w:val="00FB5305"/>
    <w:rsid w:val="00FB5539"/>
    <w:rsid w:val="00FB580A"/>
    <w:rsid w:val="00FB5CDA"/>
    <w:rsid w:val="00FB5D0B"/>
    <w:rsid w:val="00FB6219"/>
    <w:rsid w:val="00FB6344"/>
    <w:rsid w:val="00FC0BB0"/>
    <w:rsid w:val="00FC0CFE"/>
    <w:rsid w:val="00FC141F"/>
    <w:rsid w:val="00FC18C6"/>
    <w:rsid w:val="00FC1BFB"/>
    <w:rsid w:val="00FC2AA2"/>
    <w:rsid w:val="00FC2BFC"/>
    <w:rsid w:val="00FC2FEF"/>
    <w:rsid w:val="00FC3EE9"/>
    <w:rsid w:val="00FC4E0A"/>
    <w:rsid w:val="00FC5072"/>
    <w:rsid w:val="00FC507A"/>
    <w:rsid w:val="00FC54B0"/>
    <w:rsid w:val="00FC5721"/>
    <w:rsid w:val="00FC59E2"/>
    <w:rsid w:val="00FC5E1E"/>
    <w:rsid w:val="00FC6E0C"/>
    <w:rsid w:val="00FC7057"/>
    <w:rsid w:val="00FC70BE"/>
    <w:rsid w:val="00FC70C1"/>
    <w:rsid w:val="00FC7C5E"/>
    <w:rsid w:val="00FD0107"/>
    <w:rsid w:val="00FD0552"/>
    <w:rsid w:val="00FD0C8F"/>
    <w:rsid w:val="00FD182E"/>
    <w:rsid w:val="00FD1F7B"/>
    <w:rsid w:val="00FD1FFB"/>
    <w:rsid w:val="00FD20C6"/>
    <w:rsid w:val="00FD2A36"/>
    <w:rsid w:val="00FD33DC"/>
    <w:rsid w:val="00FD383D"/>
    <w:rsid w:val="00FD3E0C"/>
    <w:rsid w:val="00FD45B6"/>
    <w:rsid w:val="00FD4671"/>
    <w:rsid w:val="00FD4A80"/>
    <w:rsid w:val="00FD5B9A"/>
    <w:rsid w:val="00FD5BAB"/>
    <w:rsid w:val="00FD6059"/>
    <w:rsid w:val="00FD6621"/>
    <w:rsid w:val="00FD7256"/>
    <w:rsid w:val="00FE0424"/>
    <w:rsid w:val="00FE058D"/>
    <w:rsid w:val="00FE0C5A"/>
    <w:rsid w:val="00FE2FFD"/>
    <w:rsid w:val="00FE369C"/>
    <w:rsid w:val="00FE37F0"/>
    <w:rsid w:val="00FE3E50"/>
    <w:rsid w:val="00FE41D4"/>
    <w:rsid w:val="00FE45FA"/>
    <w:rsid w:val="00FE477F"/>
    <w:rsid w:val="00FE4CEE"/>
    <w:rsid w:val="00FE53AC"/>
    <w:rsid w:val="00FE63DF"/>
    <w:rsid w:val="00FE675A"/>
    <w:rsid w:val="00FE6F80"/>
    <w:rsid w:val="00FE78F3"/>
    <w:rsid w:val="00FE7BD3"/>
    <w:rsid w:val="00FF0141"/>
    <w:rsid w:val="00FF0CFD"/>
    <w:rsid w:val="00FF1535"/>
    <w:rsid w:val="00FF1B0C"/>
    <w:rsid w:val="00FF249F"/>
    <w:rsid w:val="00FF2563"/>
    <w:rsid w:val="00FF2D67"/>
    <w:rsid w:val="00FF309C"/>
    <w:rsid w:val="00FF350C"/>
    <w:rsid w:val="00FF39B4"/>
    <w:rsid w:val="00FF3DCD"/>
    <w:rsid w:val="00FF4A2B"/>
    <w:rsid w:val="00FF4DC3"/>
    <w:rsid w:val="00FF51E9"/>
    <w:rsid w:val="00FF5CDC"/>
    <w:rsid w:val="00FF6FAA"/>
    <w:rsid w:val="00FF73F9"/>
    <w:rsid w:val="00FF771D"/>
    <w:rsid w:val="00FF77B0"/>
    <w:rsid w:val="01A44C80"/>
    <w:rsid w:val="01D70CEC"/>
    <w:rsid w:val="028916DF"/>
    <w:rsid w:val="03E34758"/>
    <w:rsid w:val="0568505A"/>
    <w:rsid w:val="05B41169"/>
    <w:rsid w:val="07DC0503"/>
    <w:rsid w:val="0833692A"/>
    <w:rsid w:val="0BBC2DC1"/>
    <w:rsid w:val="0C7925EF"/>
    <w:rsid w:val="0E2E5471"/>
    <w:rsid w:val="0E526B43"/>
    <w:rsid w:val="0F9221C8"/>
    <w:rsid w:val="111E1B8C"/>
    <w:rsid w:val="11717F0E"/>
    <w:rsid w:val="124B058A"/>
    <w:rsid w:val="13CD729A"/>
    <w:rsid w:val="14107EB2"/>
    <w:rsid w:val="14C91E0F"/>
    <w:rsid w:val="14E444FD"/>
    <w:rsid w:val="171C04DD"/>
    <w:rsid w:val="1787141C"/>
    <w:rsid w:val="1843750D"/>
    <w:rsid w:val="1A2B6BA8"/>
    <w:rsid w:val="1AEA05DF"/>
    <w:rsid w:val="1B6D1746"/>
    <w:rsid w:val="1BC872C4"/>
    <w:rsid w:val="1C961170"/>
    <w:rsid w:val="1DD3548B"/>
    <w:rsid w:val="1DED21D8"/>
    <w:rsid w:val="1E627B88"/>
    <w:rsid w:val="1EBA1146"/>
    <w:rsid w:val="1F0E3DA5"/>
    <w:rsid w:val="1F707090"/>
    <w:rsid w:val="209B0B03"/>
    <w:rsid w:val="20CE49AC"/>
    <w:rsid w:val="22143D06"/>
    <w:rsid w:val="22F75C0D"/>
    <w:rsid w:val="23CA0BE7"/>
    <w:rsid w:val="24374FE7"/>
    <w:rsid w:val="244516FA"/>
    <w:rsid w:val="248221F8"/>
    <w:rsid w:val="249B4BA3"/>
    <w:rsid w:val="25114177"/>
    <w:rsid w:val="25426F1F"/>
    <w:rsid w:val="25B615CC"/>
    <w:rsid w:val="267F67D1"/>
    <w:rsid w:val="26920BFA"/>
    <w:rsid w:val="28332D0A"/>
    <w:rsid w:val="290F7096"/>
    <w:rsid w:val="29CE021D"/>
    <w:rsid w:val="2B7663F5"/>
    <w:rsid w:val="2BD92719"/>
    <w:rsid w:val="2CFC6D04"/>
    <w:rsid w:val="2D9F59F9"/>
    <w:rsid w:val="2DA4237F"/>
    <w:rsid w:val="30AD3185"/>
    <w:rsid w:val="315F01EF"/>
    <w:rsid w:val="316563DD"/>
    <w:rsid w:val="31AD4B3A"/>
    <w:rsid w:val="31B8091D"/>
    <w:rsid w:val="34172F50"/>
    <w:rsid w:val="34CA5A15"/>
    <w:rsid w:val="35C91DF7"/>
    <w:rsid w:val="360F7B72"/>
    <w:rsid w:val="38C26B8B"/>
    <w:rsid w:val="39981C2C"/>
    <w:rsid w:val="3AE50EA1"/>
    <w:rsid w:val="3BE61375"/>
    <w:rsid w:val="3DB03FCF"/>
    <w:rsid w:val="3E265B9B"/>
    <w:rsid w:val="403E177F"/>
    <w:rsid w:val="41F8770C"/>
    <w:rsid w:val="43AF4543"/>
    <w:rsid w:val="46DD493A"/>
    <w:rsid w:val="470E352E"/>
    <w:rsid w:val="47B440D5"/>
    <w:rsid w:val="48EA3B26"/>
    <w:rsid w:val="4A7364C9"/>
    <w:rsid w:val="4C756A98"/>
    <w:rsid w:val="518A6447"/>
    <w:rsid w:val="51BC79AC"/>
    <w:rsid w:val="52552958"/>
    <w:rsid w:val="54754BEC"/>
    <w:rsid w:val="55120D38"/>
    <w:rsid w:val="59E24019"/>
    <w:rsid w:val="5A9F6E67"/>
    <w:rsid w:val="5AC02939"/>
    <w:rsid w:val="5B2B24A8"/>
    <w:rsid w:val="5B9A423C"/>
    <w:rsid w:val="5D3A4C25"/>
    <w:rsid w:val="5D9A54E3"/>
    <w:rsid w:val="5DF474C9"/>
    <w:rsid w:val="5ED209B4"/>
    <w:rsid w:val="5F5244A8"/>
    <w:rsid w:val="5F7C7776"/>
    <w:rsid w:val="615C7898"/>
    <w:rsid w:val="6235591B"/>
    <w:rsid w:val="62532AF1"/>
    <w:rsid w:val="65497A4E"/>
    <w:rsid w:val="654E5711"/>
    <w:rsid w:val="6562503C"/>
    <w:rsid w:val="65A538E3"/>
    <w:rsid w:val="66E11BD0"/>
    <w:rsid w:val="67C9107F"/>
    <w:rsid w:val="67DB6A52"/>
    <w:rsid w:val="687716F6"/>
    <w:rsid w:val="68E73E66"/>
    <w:rsid w:val="69236EB5"/>
    <w:rsid w:val="6955312F"/>
    <w:rsid w:val="695E7F4C"/>
    <w:rsid w:val="69CE5072"/>
    <w:rsid w:val="6A0B3BD1"/>
    <w:rsid w:val="6AD40467"/>
    <w:rsid w:val="6C040369"/>
    <w:rsid w:val="6CCE28FE"/>
    <w:rsid w:val="732A4C18"/>
    <w:rsid w:val="733229A0"/>
    <w:rsid w:val="738A486E"/>
    <w:rsid w:val="73C82B32"/>
    <w:rsid w:val="757372FC"/>
    <w:rsid w:val="769907B6"/>
    <w:rsid w:val="790A0849"/>
    <w:rsid w:val="7A7B08FF"/>
    <w:rsid w:val="7A8C5157"/>
    <w:rsid w:val="7B046B46"/>
    <w:rsid w:val="7BD76042"/>
    <w:rsid w:val="7C5424EB"/>
    <w:rsid w:val="7E431733"/>
    <w:rsid w:val="7FEE0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2"/>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Char"/>
    <w:basedOn w:val="44"/>
    <w:link w:val="3"/>
    <w:qFormat/>
    <w:uiPriority w:val="0"/>
    <w:rPr>
      <w:rFonts w:ascii="Times New Roman" w:hAnsi="Times New Roman" w:eastAsia="宋体" w:cs="Times New Roman"/>
      <w:bCs/>
      <w:kern w:val="2"/>
      <w:sz w:val="44"/>
    </w:rPr>
  </w:style>
  <w:style w:type="character" w:customStyle="1" w:styleId="51">
    <w:name w:val="标题 2 Char"/>
    <w:basedOn w:val="44"/>
    <w:link w:val="4"/>
    <w:qFormat/>
    <w:uiPriority w:val="0"/>
    <w:rPr>
      <w:rFonts w:ascii="Arial" w:hAnsi="Arial" w:eastAsia="宋体" w:cs="Times New Roman"/>
      <w:b/>
      <w:bCs/>
      <w:sz w:val="24"/>
      <w:szCs w:val="32"/>
    </w:rPr>
  </w:style>
  <w:style w:type="character" w:customStyle="1" w:styleId="52">
    <w:name w:val="标题 3 Char"/>
    <w:basedOn w:val="44"/>
    <w:link w:val="5"/>
    <w:qFormat/>
    <w:uiPriority w:val="0"/>
    <w:rPr>
      <w:rFonts w:ascii="Times New Roman" w:hAnsi="Times New Roman" w:eastAsia="宋体" w:cs="Times New Roman"/>
      <w:b/>
      <w:bCs/>
      <w:kern w:val="2"/>
      <w:sz w:val="32"/>
      <w:szCs w:val="32"/>
    </w:rPr>
  </w:style>
  <w:style w:type="character" w:customStyle="1" w:styleId="53">
    <w:name w:val="标题 4 Char"/>
    <w:basedOn w:val="44"/>
    <w:link w:val="6"/>
    <w:qFormat/>
    <w:uiPriority w:val="0"/>
    <w:rPr>
      <w:rFonts w:ascii="Arial" w:hAnsi="Arial" w:eastAsia="黑体" w:cs="Times New Roman"/>
      <w:b/>
      <w:bCs/>
      <w:kern w:val="2"/>
      <w:sz w:val="28"/>
      <w:szCs w:val="28"/>
    </w:rPr>
  </w:style>
  <w:style w:type="character" w:customStyle="1" w:styleId="54">
    <w:name w:val="标题 5 Char"/>
    <w:basedOn w:val="44"/>
    <w:link w:val="7"/>
    <w:qFormat/>
    <w:uiPriority w:val="0"/>
    <w:rPr>
      <w:rFonts w:ascii="Times New Roman" w:hAnsi="Times New Roman" w:eastAsia="宋体" w:cs="Times New Roman"/>
      <w:b/>
      <w:bCs/>
      <w:kern w:val="0"/>
      <w:sz w:val="28"/>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0"/>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paragraph" w:customStyle="1" w:styleId="149">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50">
    <w:name w:val="未处理的提及4"/>
    <w:basedOn w:val="44"/>
    <w:semiHidden/>
    <w:unhideWhenUsed/>
    <w:qFormat/>
    <w:uiPriority w:val="99"/>
    <w:rPr>
      <w:color w:val="605E5C"/>
      <w:shd w:val="clear" w:color="auto" w:fill="E1DFDD"/>
    </w:rPr>
  </w:style>
  <w:style w:type="character" w:customStyle="1" w:styleId="151">
    <w:name w:val="未处理的提及5"/>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8819F-67BA-496C-86A8-B6E4E65FD085}">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95</Pages>
  <Words>6577</Words>
  <Characters>37494</Characters>
  <Lines>312</Lines>
  <Paragraphs>87</Paragraphs>
  <TotalTime>0</TotalTime>
  <ScaleCrop>false</ScaleCrop>
  <LinksUpToDate>false</LinksUpToDate>
  <CharactersWithSpaces>43984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2022-11-04T09:10:00Z</cp:lastPrinted>
  <dcterms:modified xsi:type="dcterms:W3CDTF">2025-01-03T00:40:36Z</dcterms:modified>
  <cp:revision>1270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